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CCA3" w14:textId="0B8540C7" w:rsidR="008D776B" w:rsidRPr="002363B4" w:rsidRDefault="00B109B1" w:rsidP="002363B4">
      <w:pPr>
        <w:spacing w:after="240"/>
        <w:jc w:val="center"/>
        <w:rPr>
          <w:rFonts w:ascii="Footlight MT Light" w:eastAsia="Gentium Basic" w:hAnsi="Footlight MT Light" w:cs="Gentium Basic"/>
          <w:sz w:val="24"/>
          <w:szCs w:val="24"/>
        </w:rPr>
      </w:pPr>
      <w:r w:rsidRPr="002363B4">
        <w:rPr>
          <w:rFonts w:ascii="Footlight MT Light" w:eastAsia="Gentium Basic" w:hAnsi="Footlight MT Light" w:cs="Gentium Basic"/>
          <w:b/>
          <w:color w:val="000000"/>
          <w:sz w:val="32"/>
          <w:szCs w:val="32"/>
        </w:rPr>
        <w:t>Penguatan Perlindungan Hukum Istri Pertama dalam Poligami Tanpa Izin Pengadilan: Analisis Normatif dan Perbandingan Hukum</w:t>
      </w:r>
    </w:p>
    <w:p w14:paraId="20755CBD" w14:textId="0B0FB6F8" w:rsidR="00AC53BC" w:rsidRPr="002363B4" w:rsidRDefault="00AC53BC" w:rsidP="00AC53BC">
      <w:pPr>
        <w:jc w:val="center"/>
        <w:rPr>
          <w:rFonts w:ascii="Footlight MT Light" w:eastAsia="Gentium Basic" w:hAnsi="Footlight MT Light" w:cs="Gentium Basic"/>
          <w:sz w:val="24"/>
          <w:szCs w:val="24"/>
        </w:rPr>
      </w:pPr>
      <w:r w:rsidRPr="002363B4">
        <w:rPr>
          <w:rFonts w:ascii="Footlight MT Light" w:eastAsia="Gentium Basic" w:hAnsi="Footlight MT Light" w:cs="Gentium Basic"/>
          <w:b/>
          <w:color w:val="000000"/>
          <w:sz w:val="24"/>
          <w:szCs w:val="24"/>
        </w:rPr>
        <w:t>Intan Saputri Abudi</w:t>
      </w:r>
      <w:r w:rsidRPr="002363B4">
        <w:rPr>
          <w:rFonts w:ascii="Footlight MT Light" w:eastAsia="Gentium Basic" w:hAnsi="Footlight MT Light" w:cs="Gentium Basic"/>
          <w:b/>
          <w:color w:val="000000"/>
          <w:sz w:val="22"/>
          <w:szCs w:val="22"/>
          <w:vertAlign w:val="superscript"/>
        </w:rPr>
        <w:t>1*</w:t>
      </w:r>
      <w:r w:rsidRPr="002363B4">
        <w:rPr>
          <w:rFonts w:ascii="Footlight MT Light" w:eastAsia="Gentium Basic" w:hAnsi="Footlight MT Light" w:cs="Gentium Basic"/>
          <w:b/>
          <w:color w:val="000000"/>
          <w:sz w:val="24"/>
          <w:szCs w:val="24"/>
        </w:rPr>
        <w:t xml:space="preserve">, </w:t>
      </w:r>
      <w:r w:rsidRPr="002363B4">
        <w:rPr>
          <w:rFonts w:ascii="Footlight MT Light" w:eastAsia="Gentium Basic" w:hAnsi="Footlight MT Light" w:cs="Gentium Basic"/>
          <w:b/>
          <w:bCs/>
          <w:color w:val="000000"/>
          <w:sz w:val="24"/>
          <w:szCs w:val="24"/>
        </w:rPr>
        <w:t>Nur</w:t>
      </w:r>
      <w:r w:rsidRPr="002363B4">
        <w:rPr>
          <w:rFonts w:ascii="Footlight MT Light" w:eastAsia="Gentium Basic" w:hAnsi="Footlight MT Light" w:cs="Gentium Basic"/>
          <w:b/>
          <w:bCs/>
          <w:color w:val="000000"/>
          <w:sz w:val="24"/>
          <w:szCs w:val="24"/>
          <w:lang w:val="en-US"/>
        </w:rPr>
        <w:t xml:space="preserve"> </w:t>
      </w:r>
      <w:r w:rsidRPr="002363B4">
        <w:rPr>
          <w:rFonts w:ascii="Footlight MT Light" w:eastAsia="Gentium Basic" w:hAnsi="Footlight MT Light" w:cs="Gentium Basic"/>
          <w:b/>
          <w:bCs/>
          <w:color w:val="000000"/>
          <w:sz w:val="24"/>
          <w:szCs w:val="24"/>
        </w:rPr>
        <w:t>Mohamad Kasim</w:t>
      </w:r>
      <w:r w:rsidRPr="002363B4">
        <w:rPr>
          <w:rFonts w:ascii="Footlight MT Light" w:eastAsia="Gentium Basic" w:hAnsi="Footlight MT Light" w:cs="Gentium Basic"/>
          <w:b/>
          <w:color w:val="000000"/>
          <w:sz w:val="22"/>
          <w:szCs w:val="22"/>
          <w:vertAlign w:val="superscript"/>
        </w:rPr>
        <w:t>2</w:t>
      </w:r>
      <w:r w:rsidRPr="002363B4">
        <w:rPr>
          <w:rFonts w:ascii="Footlight MT Light" w:eastAsia="Gentium Basic" w:hAnsi="Footlight MT Light" w:cs="Gentium Basic"/>
          <w:b/>
          <w:color w:val="000000"/>
          <w:sz w:val="24"/>
          <w:szCs w:val="24"/>
        </w:rPr>
        <w:t xml:space="preserve">, </w:t>
      </w:r>
      <w:r w:rsidRPr="002363B4">
        <w:rPr>
          <w:rFonts w:ascii="Footlight MT Light" w:eastAsia="Gentium Basic" w:hAnsi="Footlight MT Light" w:cs="Gentium Basic"/>
          <w:b/>
          <w:bCs/>
          <w:color w:val="000000"/>
          <w:sz w:val="24"/>
          <w:szCs w:val="24"/>
          <w:lang w:val="id-ID"/>
        </w:rPr>
        <w:t>Weny Almoravid Dungga</w:t>
      </w:r>
      <w:r w:rsidRPr="002363B4">
        <w:rPr>
          <w:rFonts w:ascii="Footlight MT Light" w:eastAsia="Gentium Basic" w:hAnsi="Footlight MT Light" w:cs="Gentium Basic"/>
          <w:b/>
          <w:color w:val="000000"/>
          <w:sz w:val="22"/>
          <w:szCs w:val="22"/>
          <w:vertAlign w:val="superscript"/>
        </w:rPr>
        <w:t>3</w:t>
      </w:r>
      <w:r w:rsidRPr="002363B4">
        <w:rPr>
          <w:rFonts w:ascii="Footlight MT Light" w:eastAsia="Gentium Basic" w:hAnsi="Footlight MT Light" w:cs="Gentium Basic"/>
          <w:b/>
          <w:color w:val="000000"/>
          <w:sz w:val="24"/>
          <w:szCs w:val="24"/>
        </w:rPr>
        <w:t> </w:t>
      </w:r>
    </w:p>
    <w:p w14:paraId="5918EA68" w14:textId="16F9E2FA" w:rsidR="00AC53BC" w:rsidRPr="002363B4" w:rsidRDefault="00AC53BC" w:rsidP="002363B4">
      <w:pPr>
        <w:jc w:val="center"/>
        <w:rPr>
          <w:rFonts w:ascii="Footlight MT Light" w:eastAsia="Gentium Basic" w:hAnsi="Footlight MT Light" w:cs="Gentium Basic"/>
          <w:sz w:val="24"/>
          <w:szCs w:val="24"/>
          <w:lang w:val="id-ID"/>
        </w:rPr>
      </w:pPr>
      <w:r w:rsidRPr="002363B4">
        <w:rPr>
          <w:rFonts w:ascii="Footlight MT Light" w:eastAsia="Gentium Basic" w:hAnsi="Footlight MT Light" w:cs="Gentium Basic"/>
          <w:color w:val="000000"/>
          <w:sz w:val="22"/>
          <w:szCs w:val="22"/>
          <w:vertAlign w:val="superscript"/>
        </w:rPr>
        <w:t>1</w:t>
      </w:r>
      <w:r w:rsidR="002363B4" w:rsidRPr="002363B4">
        <w:rPr>
          <w:rFonts w:ascii="Footlight MT Light" w:eastAsia="Gentium Basic" w:hAnsi="Footlight MT Light" w:cs="Gentium Basic"/>
          <w:color w:val="000000"/>
          <w:sz w:val="22"/>
          <w:szCs w:val="22"/>
          <w:vertAlign w:val="superscript"/>
        </w:rPr>
        <w:t>*,2,3</w:t>
      </w:r>
      <w:r w:rsidRPr="002363B4">
        <w:rPr>
          <w:rFonts w:ascii="Footlight MT Light" w:eastAsia="Gentium Basic" w:hAnsi="Footlight MT Light" w:cs="Gentium Basic"/>
          <w:color w:val="000000"/>
          <w:sz w:val="22"/>
          <w:szCs w:val="22"/>
          <w:lang w:val="id-ID"/>
        </w:rPr>
        <w:t>Magister Hukum, Pascasarjana, Univeristas Negeri Gorontalo</w:t>
      </w:r>
    </w:p>
    <w:p w14:paraId="463A3B93" w14:textId="1212CF5D" w:rsidR="008D776B" w:rsidRPr="002363B4" w:rsidRDefault="00AC53BC" w:rsidP="00B8184A">
      <w:pPr>
        <w:spacing w:after="360"/>
        <w:jc w:val="center"/>
        <w:rPr>
          <w:rFonts w:ascii="Footlight MT Light" w:eastAsia="Gentium Basic" w:hAnsi="Footlight MT Light" w:cs="Gentium Basic"/>
          <w:sz w:val="24"/>
          <w:szCs w:val="24"/>
        </w:rPr>
      </w:pPr>
      <w:r w:rsidRPr="002363B4">
        <w:rPr>
          <w:rFonts w:ascii="Footlight MT Light" w:eastAsia="Gentium Basic" w:hAnsi="Footlight MT Light" w:cs="Gentium Basic"/>
          <w:color w:val="000000"/>
          <w:sz w:val="22"/>
          <w:szCs w:val="22"/>
        </w:rPr>
        <w:t xml:space="preserve">Corresponding Author’s e-mail : </w:t>
      </w:r>
      <w:hyperlink r:id="rId8" w:history="1">
        <w:r w:rsidR="004E4C2E" w:rsidRPr="002363B4">
          <w:rPr>
            <w:rStyle w:val="Hyperlink"/>
            <w:rFonts w:ascii="Footlight MT Light" w:eastAsia="Gentium Basic" w:hAnsi="Footlight MT Light" w:cs="Gentium Basic"/>
            <w:sz w:val="22"/>
            <w:szCs w:val="22"/>
          </w:rPr>
          <w:t>intan.saputtri@gmail.com</w:t>
        </w:r>
      </w:hyperlink>
      <w:r w:rsidR="004E4C2E" w:rsidRPr="002363B4">
        <w:rPr>
          <w:rFonts w:ascii="Footlight MT Light" w:eastAsia="Gentium Basic" w:hAnsi="Footlight MT Light" w:cs="Gentium Basic"/>
          <w:color w:val="000000"/>
          <w:sz w:val="22"/>
          <w:szCs w:val="22"/>
        </w:rPr>
        <w:t xml:space="preserve"> </w:t>
      </w:r>
    </w:p>
    <w:tbl>
      <w:tblPr>
        <w:tblStyle w:val="a"/>
        <w:tblW w:w="9639" w:type="dxa"/>
        <w:jc w:val="center"/>
        <w:tblLayout w:type="fixed"/>
        <w:tblLook w:val="0400" w:firstRow="0" w:lastRow="0" w:firstColumn="0" w:lastColumn="0" w:noHBand="0" w:noVBand="1"/>
      </w:tblPr>
      <w:tblGrid>
        <w:gridCol w:w="3828"/>
        <w:gridCol w:w="141"/>
        <w:gridCol w:w="5670"/>
      </w:tblGrid>
      <w:tr w:rsidR="003C6C8A" w:rsidRPr="001A09B4" w14:paraId="5D36D496" w14:textId="77777777" w:rsidTr="00BA13FD">
        <w:trPr>
          <w:jc w:val="center"/>
        </w:trPr>
        <w:tc>
          <w:tcPr>
            <w:tcW w:w="3828" w:type="dxa"/>
            <w:tcMar>
              <w:top w:w="0" w:type="dxa"/>
              <w:left w:w="108" w:type="dxa"/>
              <w:bottom w:w="0" w:type="dxa"/>
              <w:right w:w="108" w:type="dxa"/>
            </w:tcMar>
          </w:tcPr>
          <w:p w14:paraId="1DBFA7F2" w14:textId="77777777" w:rsidR="003C6C8A" w:rsidRPr="001A09B4" w:rsidRDefault="003C6C8A" w:rsidP="00BA13FD">
            <w:pPr>
              <w:spacing w:line="276" w:lineRule="auto"/>
              <w:rPr>
                <w:rFonts w:ascii="Footlight MT Light" w:eastAsia="Gentium Basic" w:hAnsi="Footlight MT Light" w:cs="Gentium Basic"/>
                <w:color w:val="000000"/>
              </w:rPr>
            </w:pPr>
            <w:r w:rsidRPr="001A09B4">
              <w:rPr>
                <w:rFonts w:ascii="Footlight MT Light" w:eastAsia="Gentium Basic" w:hAnsi="Footlight MT Light" w:cs="Gentium Basic"/>
                <w:noProof/>
                <w:color w:val="000000"/>
                <w:lang w:val="en-US"/>
              </w:rPr>
              <w:drawing>
                <wp:inline distT="0" distB="0" distL="0" distR="0" wp14:anchorId="27DD4442" wp14:editId="6E9057BD">
                  <wp:extent cx="2340054" cy="731267"/>
                  <wp:effectExtent l="0" t="0" r="0" b="0"/>
                  <wp:docPr id="3311484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40054" cy="731267"/>
                          </a:xfrm>
                          <a:prstGeom prst="rect">
                            <a:avLst/>
                          </a:prstGeom>
                          <a:ln/>
                        </pic:spPr>
                      </pic:pic>
                    </a:graphicData>
                  </a:graphic>
                </wp:inline>
              </w:drawing>
            </w:r>
          </w:p>
        </w:tc>
        <w:tc>
          <w:tcPr>
            <w:tcW w:w="141" w:type="dxa"/>
            <w:vMerge w:val="restart"/>
          </w:tcPr>
          <w:p w14:paraId="5C9AB8F1" w14:textId="77777777" w:rsidR="003C6C8A" w:rsidRPr="001A09B4" w:rsidRDefault="003C6C8A" w:rsidP="00BA13FD">
            <w:pPr>
              <w:jc w:val="both"/>
              <w:rPr>
                <w:rFonts w:ascii="Footlight MT Light" w:eastAsia="Gentium Basic" w:hAnsi="Footlight MT Light" w:cs="Gentium Basic"/>
                <w:b/>
                <w:i/>
                <w:color w:val="000000"/>
                <w:sz w:val="22"/>
                <w:szCs w:val="22"/>
              </w:rPr>
            </w:pPr>
          </w:p>
        </w:tc>
        <w:tc>
          <w:tcPr>
            <w:tcW w:w="5670" w:type="dxa"/>
            <w:vMerge w:val="restart"/>
            <w:shd w:val="clear" w:color="auto" w:fill="D9D9D9" w:themeFill="background1" w:themeFillShade="D9"/>
            <w:tcMar>
              <w:top w:w="0" w:type="dxa"/>
              <w:left w:w="108" w:type="dxa"/>
              <w:bottom w:w="0" w:type="dxa"/>
              <w:right w:w="108" w:type="dxa"/>
            </w:tcMar>
          </w:tcPr>
          <w:p w14:paraId="027BC422" w14:textId="76A9D7AE" w:rsidR="003C6C8A" w:rsidRPr="003C6C8A" w:rsidRDefault="003C6C8A" w:rsidP="003C6C8A">
            <w:pPr>
              <w:jc w:val="both"/>
              <w:rPr>
                <w:rFonts w:ascii="Footlight MT Light" w:eastAsia="Gentium Basic" w:hAnsi="Footlight MT Light" w:cs="Gentium Basic"/>
                <w:bCs/>
                <w:i/>
                <w:color w:val="000000"/>
                <w:sz w:val="22"/>
                <w:szCs w:val="22"/>
              </w:rPr>
            </w:pPr>
            <w:r w:rsidRPr="001A09B4">
              <w:rPr>
                <w:rFonts w:ascii="Footlight MT Light" w:eastAsia="Gentium Basic" w:hAnsi="Footlight MT Light" w:cs="Gentium Basic"/>
                <w:b/>
                <w:i/>
                <w:color w:val="000000"/>
                <w:sz w:val="22"/>
                <w:szCs w:val="22"/>
              </w:rPr>
              <w:t>Abstract</w:t>
            </w:r>
            <w:r w:rsidRPr="001A09B4">
              <w:rPr>
                <w:rFonts w:ascii="Footlight MT Light" w:eastAsia="Gentium Basic" w:hAnsi="Footlight MT Light" w:cs="Gentium Basic"/>
                <w:i/>
                <w:color w:val="000000"/>
                <w:sz w:val="22"/>
                <w:szCs w:val="22"/>
              </w:rPr>
              <w:t xml:space="preserve"> :</w:t>
            </w:r>
            <w:r w:rsidRPr="001A09B4">
              <w:rPr>
                <w:rFonts w:ascii="Footlight MT Light" w:eastAsia="Gentium Basic" w:hAnsi="Footlight MT Light" w:cs="Gentium Basic"/>
                <w:b/>
                <w:i/>
                <w:color w:val="000000"/>
                <w:sz w:val="22"/>
                <w:szCs w:val="22"/>
              </w:rPr>
              <w:t xml:space="preserve"> </w:t>
            </w:r>
            <w:r w:rsidRPr="003C6C8A">
              <w:rPr>
                <w:rFonts w:ascii="Footlight MT Light" w:eastAsia="Gentium Basic" w:hAnsi="Footlight MT Light" w:cs="Gentium Basic"/>
                <w:bCs/>
                <w:i/>
                <w:color w:val="000000"/>
                <w:sz w:val="22"/>
                <w:szCs w:val="22"/>
              </w:rPr>
              <w:t>Polygamy in Indonesian law is principally allowed only under strict conditions, namely court authorization and the first wife’s consent, yet in practice it is often conducted without fulfilling these requirements through unregistered marriages or procedural manipulation, which increases the vulnerability of first wives. This topic is crucial because it reveals a gap between the normative protection provided by positive law and social reality shaped by patriarchy, low legal awareness, and weak state supervision. This study employs normative legal research with statutory, conceptual, and comparative approaches. Primary legal materials consist of the Marriage Law, the Compilation of Islamic Law, implementing regulations, court decisions, and relevant scholarly works, analyzed using a descriptive qualitative method. The findings show that Indonesian law actually incorporates both preventive and repressive protection mechanisms for first wives, but their effectiveness is undermined by inconsistent implementation and weak enforcement of sanctions, particularly against polygamy without court permission. A comparison with Malaysia, Morocco, Egypt, and several European states highlights the importance of strong judicial control and more rigorous verification of the wife’s consent. These results underscore the need to reconstruct policies and religious court practices in a more gender responsive direction.</w:t>
            </w:r>
          </w:p>
          <w:p w14:paraId="7A88627A" w14:textId="6CC4378D" w:rsidR="003C6C8A" w:rsidRPr="005179EC" w:rsidRDefault="003C6C8A" w:rsidP="002363B4">
            <w:pPr>
              <w:spacing w:before="240" w:after="240"/>
              <w:jc w:val="both"/>
              <w:rPr>
                <w:rFonts w:ascii="Footlight MT Light" w:eastAsia="Gentium Basic" w:hAnsi="Footlight MT Light" w:cs="Gentium Basic"/>
                <w:i/>
                <w:color w:val="000000"/>
                <w:sz w:val="22"/>
                <w:szCs w:val="22"/>
              </w:rPr>
            </w:pPr>
            <w:r w:rsidRPr="008D0573">
              <w:rPr>
                <w:rFonts w:ascii="Footlight MT Light" w:eastAsia="Gentium Basic" w:hAnsi="Footlight MT Light" w:cs="Gentium Basic"/>
                <w:b/>
                <w:i/>
                <w:color w:val="000000"/>
                <w:sz w:val="22"/>
                <w:szCs w:val="22"/>
              </w:rPr>
              <w:t>Keywords :</w:t>
            </w:r>
            <w:r w:rsidRPr="003C6C8A">
              <w:rPr>
                <w:rFonts w:ascii="Footlight MT Light" w:eastAsia="Gentium Basic" w:hAnsi="Footlight MT Light" w:cs="Gentium Basic"/>
                <w:bCs/>
                <w:i/>
                <w:color w:val="000000"/>
                <w:sz w:val="22"/>
                <w:szCs w:val="22"/>
              </w:rPr>
              <w:t xml:space="preserve"> Legal Protection; Polygamy; Court Authorization</w:t>
            </w:r>
          </w:p>
        </w:tc>
      </w:tr>
      <w:tr w:rsidR="003C6C8A" w:rsidRPr="001A09B4" w14:paraId="2BB3835F" w14:textId="77777777" w:rsidTr="00406E7A">
        <w:trPr>
          <w:trHeight w:val="5587"/>
          <w:jc w:val="center"/>
        </w:trPr>
        <w:tc>
          <w:tcPr>
            <w:tcW w:w="3828" w:type="dxa"/>
            <w:tcMar>
              <w:top w:w="0" w:type="dxa"/>
              <w:left w:w="108" w:type="dxa"/>
              <w:bottom w:w="0" w:type="dxa"/>
              <w:right w:w="108" w:type="dxa"/>
            </w:tcMar>
          </w:tcPr>
          <w:p w14:paraId="1B86587C" w14:textId="77777777" w:rsidR="003C6C8A" w:rsidRDefault="003C6C8A" w:rsidP="00BA13FD">
            <w:pPr>
              <w:spacing w:before="240" w:line="360" w:lineRule="auto"/>
              <w:jc w:val="center"/>
              <w:rPr>
                <w:rFonts w:ascii="Gentium Basic" w:eastAsia="Gentium Basic" w:hAnsi="Gentium Basic" w:cs="Gentium Basic"/>
                <w:color w:val="000000"/>
                <w:sz w:val="22"/>
                <w:szCs w:val="22"/>
              </w:rPr>
            </w:pPr>
            <w:r>
              <w:rPr>
                <w:rFonts w:ascii="Gentium Basic" w:eastAsia="Gentium Basic" w:hAnsi="Gentium Basic" w:cs="Gentium Basic"/>
                <w:color w:val="000000"/>
                <w:sz w:val="22"/>
                <w:szCs w:val="22"/>
              </w:rPr>
              <w:t xml:space="preserve">e-ISSN: </w:t>
            </w:r>
            <w:r>
              <w:rPr>
                <w:rFonts w:ascii="Gentium Basic" w:eastAsia="Gentium Basic" w:hAnsi="Gentium Basic" w:cs="Gentium Basic"/>
                <w:sz w:val="22"/>
                <w:szCs w:val="22"/>
              </w:rPr>
              <w:t>2964</w:t>
            </w:r>
            <w:r>
              <w:rPr>
                <w:rFonts w:ascii="Gentium Basic" w:eastAsia="Gentium Basic" w:hAnsi="Gentium Basic" w:cs="Gentium Basic"/>
                <w:color w:val="000000"/>
                <w:sz w:val="22"/>
                <w:szCs w:val="22"/>
              </w:rPr>
              <w:t>-</w:t>
            </w:r>
            <w:r>
              <w:rPr>
                <w:rFonts w:ascii="Gentium Basic" w:eastAsia="Gentium Basic" w:hAnsi="Gentium Basic" w:cs="Gentium Basic"/>
                <w:sz w:val="22"/>
                <w:szCs w:val="22"/>
              </w:rPr>
              <w:t>0962</w:t>
            </w:r>
          </w:p>
          <w:p w14:paraId="0BFD464C" w14:textId="77777777" w:rsidR="003C6C8A" w:rsidRDefault="003C6C8A" w:rsidP="00BA13FD">
            <w:pPr>
              <w:spacing w:line="360" w:lineRule="auto"/>
              <w:ind w:left="-105" w:right="-108"/>
              <w:jc w:val="center"/>
              <w:rPr>
                <w:rFonts w:ascii="Gentium Basic" w:eastAsia="Gentium Basic" w:hAnsi="Gentium Basic" w:cs="Gentium Basic"/>
                <w:b/>
                <w:color w:val="000000"/>
                <w:sz w:val="18"/>
                <w:szCs w:val="18"/>
              </w:rPr>
            </w:pPr>
            <w:r>
              <w:rPr>
                <w:rFonts w:ascii="Gentium Basic" w:eastAsia="Gentium Basic" w:hAnsi="Gentium Basic" w:cs="Gentium Basic"/>
                <w:b/>
                <w:color w:val="000000"/>
                <w:sz w:val="18"/>
                <w:szCs w:val="18"/>
              </w:rPr>
              <w:t>SEIKAT: Jurnal Ilmu Sosial, Politik dan Hukum</w:t>
            </w:r>
          </w:p>
          <w:p w14:paraId="0E7E7C66" w14:textId="77777777" w:rsidR="003C6C8A" w:rsidRDefault="003C6C8A" w:rsidP="00BA13FD">
            <w:pPr>
              <w:spacing w:line="276" w:lineRule="auto"/>
              <w:ind w:left="-105" w:right="-102"/>
              <w:jc w:val="center"/>
              <w:rPr>
                <w:rFonts w:ascii="Gentium Basic" w:eastAsia="Gentium Basic" w:hAnsi="Gentium Basic" w:cs="Gentium Basic"/>
                <w:color w:val="000000"/>
                <w:sz w:val="16"/>
                <w:szCs w:val="16"/>
              </w:rPr>
            </w:pPr>
            <w:hyperlink r:id="rId10">
              <w:r>
                <w:rPr>
                  <w:rFonts w:ascii="Gentium Basic" w:eastAsia="Gentium Basic" w:hAnsi="Gentium Basic" w:cs="Gentium Basic"/>
                  <w:color w:val="0000FF"/>
                  <w:sz w:val="16"/>
                  <w:szCs w:val="16"/>
                </w:rPr>
                <w:t>https://ejournal.45mataram.ac.id/index.php/seikat</w:t>
              </w:r>
            </w:hyperlink>
          </w:p>
          <w:p w14:paraId="2576FDAB" w14:textId="284844EF" w:rsidR="003C6C8A" w:rsidRDefault="003C6C8A" w:rsidP="00BA13FD">
            <w:pPr>
              <w:tabs>
                <w:tab w:val="center" w:pos="4680"/>
                <w:tab w:val="right" w:pos="9360"/>
              </w:tabs>
              <w:spacing w:before="60" w:after="80" w:line="276" w:lineRule="auto"/>
              <w:jc w:val="center"/>
              <w:rPr>
                <w:rFonts w:ascii="Gentium Basic" w:eastAsia="Gentium Basic" w:hAnsi="Gentium Basic" w:cs="Gentium Basic"/>
                <w:color w:val="000000"/>
                <w:sz w:val="18"/>
                <w:szCs w:val="18"/>
              </w:rPr>
            </w:pPr>
            <w:r>
              <w:rPr>
                <w:rFonts w:ascii="Gentium Basic" w:eastAsia="Gentium Basic" w:hAnsi="Gentium Basic" w:cs="Gentium Basic"/>
                <w:color w:val="000000"/>
                <w:sz w:val="18"/>
                <w:szCs w:val="18"/>
              </w:rPr>
              <w:t xml:space="preserve">Vol. 5, No. 3, </w:t>
            </w:r>
            <w:r w:rsidR="002363B4">
              <w:rPr>
                <w:rFonts w:ascii="Gentium Basic" w:eastAsia="Gentium Basic" w:hAnsi="Gentium Basic" w:cs="Gentium Basic"/>
                <w:color w:val="000000"/>
                <w:sz w:val="18"/>
                <w:szCs w:val="18"/>
              </w:rPr>
              <w:t>Juni</w:t>
            </w:r>
            <w:r w:rsidRPr="000920F7">
              <w:rPr>
                <w:rFonts w:ascii="Gentium Basic" w:eastAsia="Gentium Basic" w:hAnsi="Gentium Basic" w:cs="Gentium Basic"/>
                <w:color w:val="000000"/>
                <w:sz w:val="18"/>
                <w:szCs w:val="18"/>
              </w:rPr>
              <w:t xml:space="preserve"> 2026</w:t>
            </w:r>
          </w:p>
          <w:p w14:paraId="60EE4DD4" w14:textId="13893232" w:rsidR="003C6C8A" w:rsidRDefault="003C6C8A" w:rsidP="00BA13FD">
            <w:pPr>
              <w:spacing w:line="276" w:lineRule="auto"/>
              <w:jc w:val="center"/>
              <w:rPr>
                <w:rFonts w:ascii="Gentium Basic" w:eastAsia="Gentium Basic" w:hAnsi="Gentium Basic" w:cs="Gentium Basic"/>
                <w:color w:val="000000"/>
              </w:rPr>
            </w:pPr>
            <w:r>
              <w:rPr>
                <w:rFonts w:ascii="Gentium Basic" w:eastAsia="Gentium Basic" w:hAnsi="Gentium Basic" w:cs="Gentium Basic"/>
                <w:color w:val="000000"/>
                <w:sz w:val="18"/>
                <w:szCs w:val="18"/>
              </w:rPr>
              <w:t xml:space="preserve">Page: </w:t>
            </w:r>
            <w:r w:rsidR="006E1388">
              <w:rPr>
                <w:rFonts w:ascii="Gentium Basic" w:eastAsia="Gentium Basic" w:hAnsi="Gentium Basic" w:cs="Gentium Basic"/>
                <w:color w:val="000000"/>
                <w:sz w:val="18"/>
                <w:szCs w:val="18"/>
              </w:rPr>
              <w:t>476</w:t>
            </w:r>
            <w:r>
              <w:rPr>
                <w:rFonts w:ascii="Gentium Basic" w:eastAsia="Gentium Basic" w:hAnsi="Gentium Basic" w:cs="Gentium Basic"/>
                <w:color w:val="000000"/>
                <w:sz w:val="18"/>
                <w:szCs w:val="18"/>
              </w:rPr>
              <w:t>-</w:t>
            </w:r>
            <w:r w:rsidR="006E1388">
              <w:rPr>
                <w:rFonts w:ascii="Gentium Basic" w:eastAsia="Gentium Basic" w:hAnsi="Gentium Basic" w:cs="Gentium Basic"/>
                <w:color w:val="000000"/>
                <w:sz w:val="18"/>
                <w:szCs w:val="18"/>
              </w:rPr>
              <w:t>485</w:t>
            </w:r>
          </w:p>
          <w:p w14:paraId="312CAD83" w14:textId="77777777" w:rsidR="003C6C8A" w:rsidRDefault="003C6C8A" w:rsidP="00BA13FD">
            <w:pPr>
              <w:spacing w:before="240" w:line="360" w:lineRule="auto"/>
              <w:jc w:val="center"/>
              <w:rPr>
                <w:rFonts w:ascii="Gentium Basic" w:eastAsia="Gentium Basic" w:hAnsi="Gentium Basic" w:cs="Gentium Basic"/>
                <w:b/>
                <w:color w:val="000000"/>
              </w:rPr>
            </w:pPr>
            <w:r>
              <w:rPr>
                <w:rFonts w:ascii="Gentium Basic" w:eastAsia="Gentium Basic" w:hAnsi="Gentium Basic" w:cs="Gentium Basic"/>
                <w:b/>
                <w:color w:val="000000"/>
              </w:rPr>
              <w:t xml:space="preserve">Available at: </w:t>
            </w:r>
          </w:p>
          <w:p w14:paraId="1A0938DC" w14:textId="14E405AE" w:rsidR="003C6C8A" w:rsidRDefault="003C6C8A" w:rsidP="00BA13FD">
            <w:pPr>
              <w:spacing w:line="276" w:lineRule="auto"/>
              <w:ind w:right="34"/>
              <w:jc w:val="center"/>
              <w:rPr>
                <w:rFonts w:ascii="Gentium Basic" w:eastAsia="Gentium Basic" w:hAnsi="Gentium Basic" w:cs="Gentium Basic"/>
                <w:color w:val="000000"/>
                <w:sz w:val="18"/>
                <w:szCs w:val="18"/>
              </w:rPr>
            </w:pPr>
            <w:hyperlink r:id="rId11">
              <w:r>
                <w:rPr>
                  <w:rFonts w:ascii="Gentium Basic" w:eastAsia="Gentium Basic" w:hAnsi="Gentium Basic" w:cs="Gentium Basic"/>
                  <w:color w:val="0000FF"/>
                  <w:sz w:val="18"/>
                  <w:szCs w:val="18"/>
                </w:rPr>
                <w:t>https://ejournal.45mataram.ac.id/index.php/seikat</w:t>
              </w:r>
            </w:hyperlink>
            <w:r>
              <w:rPr>
                <w:rFonts w:ascii="Gentium Basic" w:eastAsia="Gentium Basic" w:hAnsi="Gentium Basic" w:cs="Gentium Basic"/>
                <w:color w:val="000000"/>
                <w:sz w:val="18"/>
                <w:szCs w:val="18"/>
              </w:rPr>
              <w:t>/</w:t>
            </w:r>
            <w:r>
              <w:rPr>
                <w:rFonts w:ascii="Gentium Basic" w:eastAsia="Gentium Basic" w:hAnsi="Gentium Basic" w:cs="Gentium Basic"/>
                <w:color w:val="002060"/>
                <w:sz w:val="18"/>
                <w:szCs w:val="18"/>
              </w:rPr>
              <w:t>article/view/</w:t>
            </w:r>
            <w:r w:rsidR="002363B4">
              <w:rPr>
                <w:rFonts w:ascii="Gentium Basic" w:eastAsia="Gentium Basic" w:hAnsi="Gentium Basic" w:cs="Gentium Basic"/>
                <w:color w:val="002060"/>
                <w:sz w:val="18"/>
                <w:szCs w:val="18"/>
              </w:rPr>
              <w:t>2171</w:t>
            </w:r>
          </w:p>
          <w:p w14:paraId="6ED70139" w14:textId="77777777" w:rsidR="003C6C8A" w:rsidRDefault="003C6C8A" w:rsidP="00BA13FD">
            <w:pPr>
              <w:spacing w:before="240" w:line="360" w:lineRule="auto"/>
              <w:jc w:val="center"/>
              <w:rPr>
                <w:rFonts w:ascii="Gentium Basic" w:eastAsia="Gentium Basic" w:hAnsi="Gentium Basic" w:cs="Gentium Basic"/>
                <w:b/>
                <w:color w:val="000000"/>
              </w:rPr>
            </w:pPr>
            <w:r>
              <w:rPr>
                <w:rFonts w:ascii="Gentium Basic" w:eastAsia="Gentium Basic" w:hAnsi="Gentium Basic" w:cs="Gentium Basic"/>
                <w:b/>
                <w:color w:val="000000"/>
              </w:rPr>
              <w:t>DOI:</w:t>
            </w:r>
          </w:p>
          <w:p w14:paraId="4956D57A" w14:textId="744BD1F9" w:rsidR="003C6C8A" w:rsidRDefault="003C6C8A" w:rsidP="00BA13FD">
            <w:pPr>
              <w:spacing w:line="360" w:lineRule="auto"/>
              <w:jc w:val="center"/>
              <w:rPr>
                <w:rFonts w:ascii="Gentium Basic" w:eastAsia="Gentium Basic" w:hAnsi="Gentium Basic" w:cs="Gentium Basic"/>
                <w:color w:val="002060"/>
                <w:sz w:val="18"/>
                <w:szCs w:val="18"/>
              </w:rPr>
            </w:pPr>
            <w:r>
              <w:rPr>
                <w:rFonts w:ascii="Gentium Basic" w:eastAsia="Gentium Basic" w:hAnsi="Gentium Basic" w:cs="Gentium Basic"/>
                <w:color w:val="002060"/>
                <w:sz w:val="18"/>
                <w:szCs w:val="18"/>
              </w:rPr>
              <w:t>https://doi.org/10.55681/seikat.v5i3.</w:t>
            </w:r>
            <w:r w:rsidR="002363B4">
              <w:rPr>
                <w:rFonts w:ascii="Gentium Basic" w:eastAsia="Gentium Basic" w:hAnsi="Gentium Basic" w:cs="Gentium Basic"/>
                <w:color w:val="002060"/>
                <w:sz w:val="18"/>
                <w:szCs w:val="18"/>
              </w:rPr>
              <w:t>2171</w:t>
            </w:r>
          </w:p>
          <w:p w14:paraId="23488735" w14:textId="77777777" w:rsidR="003C6C8A" w:rsidRDefault="003C6C8A" w:rsidP="00BA13FD">
            <w:pPr>
              <w:spacing w:before="240" w:line="360" w:lineRule="auto"/>
              <w:jc w:val="center"/>
              <w:rPr>
                <w:rFonts w:ascii="Gentium Basic" w:eastAsia="Gentium Basic" w:hAnsi="Gentium Basic" w:cs="Gentium Basic"/>
                <w:b/>
                <w:color w:val="000000"/>
              </w:rPr>
            </w:pPr>
            <w:r>
              <w:rPr>
                <w:rFonts w:ascii="Gentium Basic" w:eastAsia="Gentium Basic" w:hAnsi="Gentium Basic" w:cs="Gentium Basic"/>
                <w:b/>
                <w:color w:val="000000"/>
              </w:rPr>
              <w:t>Article History:</w:t>
            </w:r>
          </w:p>
          <w:p w14:paraId="3077C696" w14:textId="49B7FB12" w:rsidR="003C6C8A" w:rsidRPr="000920F7" w:rsidRDefault="003C6C8A" w:rsidP="00BA13FD">
            <w:pPr>
              <w:spacing w:line="276" w:lineRule="auto"/>
              <w:jc w:val="center"/>
              <w:rPr>
                <w:rFonts w:ascii="Gentium Basic" w:eastAsia="Gentium Basic" w:hAnsi="Gentium Basic" w:cs="Gentium Basic"/>
                <w:color w:val="000000"/>
              </w:rPr>
            </w:pPr>
            <w:r w:rsidRPr="000920F7">
              <w:rPr>
                <w:rFonts w:ascii="Gentium Basic" w:eastAsia="Gentium Basic" w:hAnsi="Gentium Basic" w:cs="Gentium Basic"/>
                <w:color w:val="000000"/>
              </w:rPr>
              <w:t>Received: 05-</w:t>
            </w:r>
            <w:r w:rsidR="002363B4">
              <w:rPr>
                <w:rFonts w:ascii="Gentium Basic" w:eastAsia="Gentium Basic" w:hAnsi="Gentium Basic" w:cs="Gentium Basic"/>
                <w:color w:val="000000"/>
              </w:rPr>
              <w:t>04</w:t>
            </w:r>
            <w:r w:rsidRPr="000920F7">
              <w:rPr>
                <w:rFonts w:ascii="Gentium Basic" w:eastAsia="Gentium Basic" w:hAnsi="Gentium Basic" w:cs="Gentium Basic"/>
                <w:color w:val="000000"/>
              </w:rPr>
              <w:t>-2026</w:t>
            </w:r>
          </w:p>
          <w:p w14:paraId="7E0A2328" w14:textId="560B6E3A" w:rsidR="003C6C8A" w:rsidRPr="000920F7" w:rsidRDefault="003C6C8A" w:rsidP="00BA13FD">
            <w:pPr>
              <w:spacing w:line="276" w:lineRule="auto"/>
              <w:jc w:val="center"/>
              <w:rPr>
                <w:rFonts w:ascii="Gentium Basic" w:eastAsia="Gentium Basic" w:hAnsi="Gentium Basic" w:cs="Gentium Basic"/>
                <w:color w:val="000000"/>
              </w:rPr>
            </w:pPr>
            <w:r w:rsidRPr="000920F7">
              <w:rPr>
                <w:rFonts w:ascii="Gentium Basic" w:eastAsia="Gentium Basic" w:hAnsi="Gentium Basic" w:cs="Gentium Basic"/>
                <w:color w:val="000000"/>
              </w:rPr>
              <w:t>Revised: 10-</w:t>
            </w:r>
            <w:r w:rsidR="002363B4">
              <w:rPr>
                <w:rFonts w:ascii="Gentium Basic" w:eastAsia="Gentium Basic" w:hAnsi="Gentium Basic" w:cs="Gentium Basic"/>
                <w:color w:val="000000"/>
              </w:rPr>
              <w:t>05</w:t>
            </w:r>
            <w:r w:rsidRPr="000920F7">
              <w:rPr>
                <w:rFonts w:ascii="Gentium Basic" w:eastAsia="Gentium Basic" w:hAnsi="Gentium Basic" w:cs="Gentium Basic"/>
                <w:color w:val="000000"/>
              </w:rPr>
              <w:t>-2026</w:t>
            </w:r>
          </w:p>
          <w:p w14:paraId="65F3BE59" w14:textId="1B629DB7" w:rsidR="003C6C8A" w:rsidRPr="001A09B4" w:rsidRDefault="003C6C8A" w:rsidP="002363B4">
            <w:pPr>
              <w:spacing w:after="240" w:line="276" w:lineRule="auto"/>
              <w:jc w:val="center"/>
              <w:rPr>
                <w:rFonts w:ascii="Footlight MT Light" w:eastAsia="Gentium Basic" w:hAnsi="Footlight MT Light" w:cs="Gentium Basic"/>
                <w:color w:val="000000"/>
              </w:rPr>
            </w:pPr>
            <w:r w:rsidRPr="000920F7">
              <w:rPr>
                <w:rFonts w:ascii="Gentium Basic" w:eastAsia="Gentium Basic" w:hAnsi="Gentium Basic" w:cs="Gentium Basic"/>
                <w:color w:val="000000"/>
              </w:rPr>
              <w:t>Accepted: 20-</w:t>
            </w:r>
            <w:r w:rsidR="002363B4">
              <w:rPr>
                <w:rFonts w:ascii="Gentium Basic" w:eastAsia="Gentium Basic" w:hAnsi="Gentium Basic" w:cs="Gentium Basic"/>
                <w:color w:val="000000"/>
              </w:rPr>
              <w:t>06</w:t>
            </w:r>
            <w:r w:rsidRPr="000920F7">
              <w:rPr>
                <w:rFonts w:ascii="Gentium Basic" w:eastAsia="Gentium Basic" w:hAnsi="Gentium Basic" w:cs="Gentium Basic"/>
                <w:color w:val="000000"/>
              </w:rPr>
              <w:t>-2026</w:t>
            </w:r>
          </w:p>
        </w:tc>
        <w:tc>
          <w:tcPr>
            <w:tcW w:w="141" w:type="dxa"/>
            <w:vMerge/>
          </w:tcPr>
          <w:p w14:paraId="52DA503F" w14:textId="77777777" w:rsidR="003C6C8A" w:rsidRPr="001A09B4" w:rsidRDefault="003C6C8A" w:rsidP="00BA13FD">
            <w:pPr>
              <w:jc w:val="both"/>
              <w:rPr>
                <w:rFonts w:ascii="Footlight MT Light" w:eastAsia="Gentium Basic" w:hAnsi="Footlight MT Light" w:cs="Gentium Basic"/>
                <w:b/>
                <w:i/>
                <w:color w:val="000000"/>
                <w:sz w:val="22"/>
                <w:szCs w:val="22"/>
              </w:rPr>
            </w:pPr>
          </w:p>
        </w:tc>
        <w:tc>
          <w:tcPr>
            <w:tcW w:w="5670" w:type="dxa"/>
            <w:vMerge/>
            <w:shd w:val="clear" w:color="auto" w:fill="D9D9D9" w:themeFill="background1" w:themeFillShade="D9"/>
            <w:tcMar>
              <w:top w:w="0" w:type="dxa"/>
              <w:left w:w="108" w:type="dxa"/>
              <w:bottom w:w="0" w:type="dxa"/>
              <w:right w:w="108" w:type="dxa"/>
            </w:tcMar>
          </w:tcPr>
          <w:p w14:paraId="1C455AA7" w14:textId="77777777" w:rsidR="003C6C8A" w:rsidRPr="001A09B4" w:rsidRDefault="003C6C8A" w:rsidP="00BA13FD">
            <w:pPr>
              <w:widowControl w:val="0"/>
              <w:pBdr>
                <w:top w:val="nil"/>
                <w:left w:val="nil"/>
                <w:bottom w:val="nil"/>
                <w:right w:val="nil"/>
                <w:between w:val="nil"/>
              </w:pBdr>
              <w:spacing w:line="276" w:lineRule="auto"/>
              <w:rPr>
                <w:rFonts w:ascii="Footlight MT Light" w:eastAsia="Gentium Basic" w:hAnsi="Footlight MT Light" w:cs="Gentium Basic"/>
                <w:b/>
                <w:i/>
                <w:color w:val="000000"/>
                <w:sz w:val="22"/>
                <w:szCs w:val="22"/>
              </w:rPr>
            </w:pPr>
          </w:p>
        </w:tc>
      </w:tr>
      <w:tr w:rsidR="003C6C8A" w:rsidRPr="001A09B4" w14:paraId="1437484C" w14:textId="77777777" w:rsidTr="00BA13FD">
        <w:trPr>
          <w:trHeight w:val="795"/>
          <w:jc w:val="center"/>
        </w:trPr>
        <w:tc>
          <w:tcPr>
            <w:tcW w:w="9639" w:type="dxa"/>
            <w:gridSpan w:val="3"/>
            <w:shd w:val="clear" w:color="auto" w:fill="D9D9D9" w:themeFill="background1" w:themeFillShade="D9"/>
            <w:tcMar>
              <w:top w:w="0" w:type="dxa"/>
              <w:left w:w="108" w:type="dxa"/>
              <w:bottom w:w="0" w:type="dxa"/>
              <w:right w:w="108" w:type="dxa"/>
            </w:tcMar>
          </w:tcPr>
          <w:p w14:paraId="459FABC8" w14:textId="52C896B5" w:rsidR="003C6C8A" w:rsidRPr="003C6C8A" w:rsidRDefault="003C6C8A" w:rsidP="003C6C8A">
            <w:pPr>
              <w:jc w:val="both"/>
              <w:rPr>
                <w:rFonts w:ascii="Footlight MT Light" w:eastAsia="Gentium Basic" w:hAnsi="Footlight MT Light" w:cs="Gentium Basic"/>
                <w:color w:val="000000"/>
                <w:sz w:val="22"/>
                <w:szCs w:val="22"/>
              </w:rPr>
            </w:pPr>
            <w:r w:rsidRPr="001A09B4">
              <w:rPr>
                <w:rFonts w:ascii="Footlight MT Light" w:eastAsia="Gentium Basic" w:hAnsi="Footlight MT Light" w:cs="Gentium Basic"/>
                <w:b/>
                <w:color w:val="000000"/>
                <w:sz w:val="22"/>
                <w:szCs w:val="22"/>
              </w:rPr>
              <w:t>Abstrak</w:t>
            </w:r>
            <w:r w:rsidRPr="001A09B4">
              <w:rPr>
                <w:rFonts w:ascii="Footlight MT Light" w:eastAsia="Gentium Basic" w:hAnsi="Footlight MT Light" w:cs="Gentium Basic"/>
                <w:color w:val="000000"/>
                <w:sz w:val="22"/>
                <w:szCs w:val="22"/>
              </w:rPr>
              <w:t xml:space="preserve"> : </w:t>
            </w:r>
            <w:r w:rsidRPr="003C6C8A">
              <w:rPr>
                <w:rFonts w:ascii="Footlight MT Light" w:eastAsia="Gentium Basic" w:hAnsi="Footlight MT Light" w:cs="Gentium Basic"/>
                <w:color w:val="000000"/>
                <w:sz w:val="22"/>
                <w:szCs w:val="22"/>
              </w:rPr>
              <w:t>Poligami dalam hukum Indonesia secara prinsip hanya dibenarkan dengan syarat ketat berupa izin pengadilan dan persetujuan istri pertama, namun dalam praktik masih sering dilakukan tanpa memenuhi ketentuan tersebut, baik melalui poligami siri maupun manipulasi prosedural, sehingga menimbulkan kerentanan bagi istri pertama. Penelitian ini penting karena menunjukkan kesenjangan antara perlindungan normatif yang disediakan hukum positif dengan realitas praktik yang diwarnai budaya patriarki, rendahnya literasi hukum, dan lemahnya pengawasan negara. Penelitian ini menggunakan metode penelitian hukum normatif dengan pendekatan perundang-undangan, konseptual, dan perbandingan hukum. Bahan hukum utama berupa Undang-Undang Perkawinan, Kompilasi Hukum Islam, peraturan pelaksana, putusan pengadilan, serta literatur yang relevan, dengan analisis deskriptif-kualitatif. Hasil penelitian menunjukkan bahwa kerangka hukum Indonesia sesungguhnya telah mengandung instrumen perlindungan preventif dan represif bagi istri pertama, tetapi efektivitasnya terhambat oleh implementasi yang tidak konsisten dan lemahnya penegakan sanksi, khususnya terhadap poligami tanpa izin pengadilan. Perbandingan dengan Malaysia, Maroko, Mesir, dan negara Eropa memperlihatkan pentingnya kontrol yudisial yang tegas dan verifikasi persetujuan istri yang lebih kuat. Temuan ini menegaskan perlunya rekonstruksi kebijakan dan praktik peradilan agama yang lebih responsif gender.</w:t>
            </w:r>
          </w:p>
          <w:p w14:paraId="3A135F2E" w14:textId="744A762B" w:rsidR="003C6C8A" w:rsidRPr="002363B4" w:rsidRDefault="003C6C8A" w:rsidP="002363B4">
            <w:pPr>
              <w:spacing w:before="240"/>
              <w:jc w:val="both"/>
              <w:rPr>
                <w:rFonts w:ascii="Footlight MT Light" w:eastAsia="Gentium Basic" w:hAnsi="Footlight MT Light" w:cs="Gentium Basic"/>
                <w:color w:val="000000"/>
                <w:sz w:val="22"/>
                <w:szCs w:val="22"/>
              </w:rPr>
            </w:pPr>
            <w:r w:rsidRPr="008D0573">
              <w:rPr>
                <w:rFonts w:ascii="Footlight MT Light" w:eastAsia="Gentium Basic" w:hAnsi="Footlight MT Light" w:cs="Gentium Basic"/>
                <w:b/>
                <w:bCs/>
                <w:color w:val="000000"/>
                <w:sz w:val="22"/>
                <w:szCs w:val="22"/>
              </w:rPr>
              <w:t>Kata Kunci :</w:t>
            </w:r>
            <w:r w:rsidRPr="003C6C8A">
              <w:rPr>
                <w:rFonts w:ascii="Footlight MT Light" w:eastAsia="Gentium Basic" w:hAnsi="Footlight MT Light" w:cs="Gentium Basic"/>
                <w:color w:val="000000"/>
                <w:sz w:val="22"/>
                <w:szCs w:val="22"/>
              </w:rPr>
              <w:t xml:space="preserve"> Perlindungan Hukum; Poligami; Izin Pengadilan</w:t>
            </w:r>
          </w:p>
        </w:tc>
      </w:tr>
    </w:tbl>
    <w:p w14:paraId="68BFAF0B" w14:textId="2CCDC662" w:rsidR="008D776B" w:rsidRPr="002363B4" w:rsidRDefault="002363B4" w:rsidP="002363B4">
      <w:pPr>
        <w:pBdr>
          <w:top w:val="nil"/>
          <w:left w:val="nil"/>
          <w:bottom w:val="nil"/>
          <w:right w:val="nil"/>
          <w:between w:val="nil"/>
        </w:pBdr>
        <w:spacing w:before="240" w:line="276" w:lineRule="auto"/>
        <w:rPr>
          <w:rFonts w:ascii="Footlight MT Light" w:eastAsia="Gentium Basic" w:hAnsi="Footlight MT Light" w:cs="Gentium Basic"/>
          <w:b/>
          <w:color w:val="000000"/>
          <w:sz w:val="24"/>
          <w:szCs w:val="24"/>
        </w:rPr>
      </w:pPr>
      <w:r w:rsidRPr="002363B4">
        <w:rPr>
          <w:rFonts w:ascii="Footlight MT Light" w:eastAsia="Gentium Basic" w:hAnsi="Footlight MT Light" w:cs="Gentium Basic"/>
          <w:b/>
          <w:color w:val="000000"/>
          <w:sz w:val="24"/>
          <w:szCs w:val="24"/>
        </w:rPr>
        <w:t>P</w:t>
      </w:r>
      <w:r w:rsidR="008C1D4F" w:rsidRPr="002363B4">
        <w:rPr>
          <w:rFonts w:ascii="Footlight MT Light" w:eastAsia="Gentium Basic" w:hAnsi="Footlight MT Light" w:cs="Gentium Basic"/>
          <w:b/>
          <w:color w:val="000000"/>
          <w:sz w:val="24"/>
          <w:szCs w:val="24"/>
        </w:rPr>
        <w:t xml:space="preserve">ENDAHULUAN </w:t>
      </w:r>
    </w:p>
    <w:p w14:paraId="1CAB35E7"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lastRenderedPageBreak/>
        <w:t>Poligami dalam sistem hukum Indonesia merupakan institusi hukum yang secara normatif diakui, namun ditempatkan sebagai pengecualian dari asas monogami yang menjadi prinsip dasar dalam Undang-Undang Nomor 1 Tahun 1974 tentang Perkawinan</w:t>
      </w:r>
      <w:r w:rsidR="00A15F2E" w:rsidRPr="002363B4">
        <w:rPr>
          <w:rFonts w:ascii="Footlight MT Light" w:eastAsia="Gentium Basic" w:hAnsi="Footlight MT Light" w:cs="Gentium Basic"/>
          <w:sz w:val="24"/>
          <w:szCs w:val="24"/>
          <w:lang w:val="id-ID"/>
        </w:rPr>
        <w:t xml:space="preserve"> </w:t>
      </w:r>
      <w:r w:rsidR="00A15F2E" w:rsidRPr="002363B4">
        <w:rPr>
          <w:rFonts w:ascii="Footlight MT Light" w:eastAsia="Gentium Basic" w:hAnsi="Footlight MT Light" w:cs="Gentium Basic"/>
          <w:sz w:val="24"/>
          <w:szCs w:val="24"/>
          <w:lang w:val="id-ID"/>
        </w:rPr>
        <w:fldChar w:fldCharType="begin"/>
      </w:r>
      <w:r w:rsidR="00A15F2E" w:rsidRPr="002363B4">
        <w:rPr>
          <w:rFonts w:ascii="Footlight MT Light" w:eastAsia="Gentium Basic" w:hAnsi="Footlight MT Light" w:cs="Gentium Basic"/>
          <w:sz w:val="24"/>
          <w:szCs w:val="24"/>
          <w:lang w:val="id-ID"/>
        </w:rPr>
        <w:instrText xml:space="preserve"> ADDIN ZOTERO_ITEM CSL_CITATION {"citationID":"K241MD24","properties":{"unsorted":false,"formattedCitation":"(Yusdika, 2024)","plainCitation":"(Yusdika, 2024)","noteIndex":0},"citationItems":[{"id":3386,"uris":["http://zotero.org/users/local/OLR5BNKJ/items/BGXRUGGP"],"itemData":{"id":3386,"type":"article-journal","container-title":"Hakim: Jurnal Ilmu Hukum Dan Sosial","issue":"2","page":"24–34","source":"Google Scholar","title":"Analisis prespektif hukum terhadap permohonan pengesahan nikah poligami sirri","volume":"2","author":[{"family":"Yusdika","given":"Salsabila Haura"}],"issued":{"date-parts":[["2024"]]}}}],"schema":"https://github.com/citation-style-language/schema/raw/master/csl-citation.json"} </w:instrText>
      </w:r>
      <w:r w:rsidR="00A15F2E" w:rsidRPr="002363B4">
        <w:rPr>
          <w:rFonts w:ascii="Footlight MT Light" w:eastAsia="Gentium Basic" w:hAnsi="Footlight MT Light" w:cs="Gentium Basic"/>
          <w:sz w:val="24"/>
          <w:szCs w:val="24"/>
          <w:lang w:val="id-ID"/>
        </w:rPr>
        <w:fldChar w:fldCharType="separate"/>
      </w:r>
      <w:r w:rsidR="00A15F2E" w:rsidRPr="002363B4">
        <w:rPr>
          <w:rFonts w:ascii="Footlight MT Light" w:eastAsia="Gentium Basic" w:hAnsi="Footlight MT Light"/>
          <w:sz w:val="24"/>
          <w:szCs w:val="24"/>
        </w:rPr>
        <w:t>(Yusdika, 2024)</w:t>
      </w:r>
      <w:r w:rsidR="00A15F2E"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Asas monogami ditegaskan sebagai bentuk ideal dalam membangun rumah tangga yang harmonis dan berkeadilan, tetapi undang-undang tetap membuka ruang terbatas bagi praktik poligami dengan syarat-syarat yang ketat</w:t>
      </w:r>
      <w:r w:rsidR="00414DC5" w:rsidRPr="002363B4">
        <w:rPr>
          <w:rFonts w:ascii="Footlight MT Light" w:eastAsia="Gentium Basic" w:hAnsi="Footlight MT Light" w:cs="Gentium Basic"/>
          <w:sz w:val="24"/>
          <w:szCs w:val="24"/>
          <w:lang w:val="id-ID"/>
        </w:rPr>
        <w:t xml:space="preserve"> </w:t>
      </w:r>
      <w:r w:rsidR="00414DC5" w:rsidRPr="002363B4">
        <w:rPr>
          <w:rFonts w:ascii="Footlight MT Light" w:eastAsia="Gentium Basic" w:hAnsi="Footlight MT Light" w:cs="Gentium Basic"/>
          <w:sz w:val="24"/>
          <w:szCs w:val="24"/>
          <w:lang w:val="id-ID"/>
        </w:rPr>
        <w:fldChar w:fldCharType="begin"/>
      </w:r>
      <w:r w:rsidR="00414DC5" w:rsidRPr="002363B4">
        <w:rPr>
          <w:rFonts w:ascii="Footlight MT Light" w:eastAsia="Gentium Basic" w:hAnsi="Footlight MT Light" w:cs="Gentium Basic"/>
          <w:sz w:val="24"/>
          <w:szCs w:val="24"/>
          <w:lang w:val="id-ID"/>
        </w:rPr>
        <w:instrText xml:space="preserve"> ADDIN ZOTERO_ITEM CSL_CITATION {"citationID":"JLkklsLz","properties":{"unsorted":false,"formattedCitation":"(Arif, 2021)","plainCitation":"(Arif, 2021)","noteIndex":0},"citationItems":[{"id":3416,"uris":["http://zotero.org/users/local/OLR5BNKJ/items/9T5XW3JV"],"itemData":{"id":3416,"type":"article-journal","container-title":"MASADIR: Jurnal Hukum Islam","issue":"1","page":"15–36","source":"Google Scholar","title":"Mekanisme Pembatalan Perkawinan dan Implikasinya Terhadap Hak Perempuan Atas Poligami Tanpa Izin di Indonesia","volume":"1","author":[{"family":"Arif","given":"Alfiyah Faizatul"}],"issued":{"date-parts":[["2021"]]}}}],"schema":"https://github.com/citation-style-language/schema/raw/master/csl-citation.json"} </w:instrText>
      </w:r>
      <w:r w:rsidR="00414DC5" w:rsidRPr="002363B4">
        <w:rPr>
          <w:rFonts w:ascii="Footlight MT Light" w:eastAsia="Gentium Basic" w:hAnsi="Footlight MT Light" w:cs="Gentium Basic"/>
          <w:sz w:val="24"/>
          <w:szCs w:val="24"/>
          <w:lang w:val="id-ID"/>
        </w:rPr>
        <w:fldChar w:fldCharType="separate"/>
      </w:r>
      <w:r w:rsidR="00414DC5" w:rsidRPr="002363B4">
        <w:rPr>
          <w:rFonts w:ascii="Footlight MT Light" w:eastAsia="Gentium Basic" w:hAnsi="Footlight MT Light"/>
          <w:sz w:val="24"/>
          <w:szCs w:val="24"/>
        </w:rPr>
        <w:t>(Arif, 2021)</w:t>
      </w:r>
      <w:r w:rsidR="00414DC5"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Ketentuan tersebut kemudian dipertegas dalam Kompilasi Hukum Islam (KHI), khususnya melalui pengaturan mengenai kewajiban memperoleh izin dari Pengadilan Agama dan persetujuan dari istri pertama. Pengaturan ini menunjukkan bahwa negara tidak hanya mengakui keberadaan poligami sebagai realitas sosial, tetapi juga berupaya mengendalikannya melalui mekanisme hukum yang bersifat preventif dan protektif</w:t>
      </w:r>
      <w:r w:rsidR="00414DC5" w:rsidRPr="002363B4">
        <w:rPr>
          <w:rFonts w:ascii="Footlight MT Light" w:eastAsia="Gentium Basic" w:hAnsi="Footlight MT Light" w:cs="Gentium Basic"/>
          <w:sz w:val="24"/>
          <w:szCs w:val="24"/>
          <w:lang w:val="id-ID"/>
        </w:rPr>
        <w:t xml:space="preserve"> </w:t>
      </w:r>
      <w:r w:rsidR="00414DC5" w:rsidRPr="002363B4">
        <w:rPr>
          <w:rFonts w:ascii="Footlight MT Light" w:eastAsia="Gentium Basic" w:hAnsi="Footlight MT Light" w:cs="Gentium Basic"/>
          <w:sz w:val="24"/>
          <w:szCs w:val="24"/>
          <w:lang w:val="id-ID"/>
        </w:rPr>
        <w:fldChar w:fldCharType="begin"/>
      </w:r>
      <w:r w:rsidR="00414DC5" w:rsidRPr="002363B4">
        <w:rPr>
          <w:rFonts w:ascii="Footlight MT Light" w:eastAsia="Gentium Basic" w:hAnsi="Footlight MT Light" w:cs="Gentium Basic"/>
          <w:sz w:val="24"/>
          <w:szCs w:val="24"/>
          <w:lang w:val="id-ID"/>
        </w:rPr>
        <w:instrText xml:space="preserve"> ADDIN ZOTERO_ITEM CSL_CITATION {"citationID":"dnfboNEh","properties":{"unsorted":false,"formattedCitation":"(Andriyanto &amp; Hidayah, 2025)","plainCitation":"(Andriyanto &amp; Hidayah, 2025)","noteIndex":0},"citationItems":[{"id":3385,"uris":["http://zotero.org/users/local/OLR5BNKJ/items/KAMVNESU"],"itemData":{"id":3385,"type":"article-journal","container-title":"Usrotuna: Journal of Islamic Family Law","issue":"1","page":"32–45","source":"Google Scholar","title":"Ketika Izin Pengadilan Diabaikan:  Studi Tentang Konflik Poligami Antara Praktik Sosial Dan Norma Hukum Keluarga Islam","title-short":"Ketika Izin Pengadilan Diabaikan","volume":"2","author":[{"family":"Andriyanto","given":"Muhamad"},{"family":"Hidayah","given":"Muhamad Fauzi Manarul"}],"issued":{"date-parts":[["2025"]]}}}],"schema":"https://github.com/citation-style-language/schema/raw/master/csl-citation.json"} </w:instrText>
      </w:r>
      <w:r w:rsidR="00414DC5" w:rsidRPr="002363B4">
        <w:rPr>
          <w:rFonts w:ascii="Footlight MT Light" w:eastAsia="Gentium Basic" w:hAnsi="Footlight MT Light" w:cs="Gentium Basic"/>
          <w:sz w:val="24"/>
          <w:szCs w:val="24"/>
          <w:lang w:val="id-ID"/>
        </w:rPr>
        <w:fldChar w:fldCharType="separate"/>
      </w:r>
      <w:r w:rsidR="00414DC5" w:rsidRPr="002363B4">
        <w:rPr>
          <w:rFonts w:ascii="Footlight MT Light" w:eastAsia="Gentium Basic" w:hAnsi="Footlight MT Light"/>
          <w:sz w:val="24"/>
          <w:szCs w:val="24"/>
        </w:rPr>
        <w:t>(Andriyanto &amp; Hidayah, 2025)</w:t>
      </w:r>
      <w:r w:rsidR="00414DC5"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w:t>
      </w:r>
    </w:p>
    <w:p w14:paraId="6F3FB0E3"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t>Secara konseptual, pembatasan poligami dalam hukum positif Indonesia bertujuan untuk melindungi hak-hak perempuan, terutama istri pertama, dari potensi ketidakadilan yang dapat timbul dalam praktik poligami. Persyaratan izin pengadilan dan persetujuan istri pertama bukan sekadar formalitas administratif, melainkan instrumen hukum yang dirancang untuk memastikan bahwa poligami hanya dilakukan dalam kondisi yang benar-benar mendesak, dengan alasan yang sah, serta didukung oleh kemampuan ekonomi dan komitmen suami untuk berlaku adil</w:t>
      </w:r>
      <w:r w:rsidR="009F233B" w:rsidRPr="002363B4">
        <w:rPr>
          <w:rFonts w:ascii="Footlight MT Light" w:eastAsia="Gentium Basic" w:hAnsi="Footlight MT Light" w:cs="Gentium Basic"/>
          <w:sz w:val="24"/>
          <w:szCs w:val="24"/>
          <w:lang w:val="id-ID"/>
        </w:rPr>
        <w:t xml:space="preserve"> </w:t>
      </w:r>
      <w:r w:rsidR="009F233B" w:rsidRPr="002363B4">
        <w:rPr>
          <w:rFonts w:ascii="Footlight MT Light" w:eastAsia="Gentium Basic" w:hAnsi="Footlight MT Light" w:cs="Gentium Basic"/>
          <w:sz w:val="24"/>
          <w:szCs w:val="24"/>
          <w:lang w:val="id-ID"/>
        </w:rPr>
        <w:fldChar w:fldCharType="begin"/>
      </w:r>
      <w:r w:rsidR="009F233B" w:rsidRPr="002363B4">
        <w:rPr>
          <w:rFonts w:ascii="Footlight MT Light" w:eastAsia="Gentium Basic" w:hAnsi="Footlight MT Light" w:cs="Gentium Basic"/>
          <w:sz w:val="24"/>
          <w:szCs w:val="24"/>
          <w:lang w:val="id-ID"/>
        </w:rPr>
        <w:instrText xml:space="preserve"> ADDIN ZOTERO_ITEM CSL_CITATION {"citationID":"gIZXdQM8","properties":{"unsorted":false,"formattedCitation":"(Afifah dkk., 2025)","plainCitation":"(Afifah dkk., 2025)","noteIndex":0},"citationItems":[{"id":3402,"uris":["http://zotero.org/users/local/OLR5BNKJ/items/C3JHLQMY"],"itemData":{"id":3402,"type":"article-journal","container-title":"Jurnal Komunitas Yustisia","issue":"3","page":"179–190","source":"Google Scholar","title":"Analisis Yuridis Terhadap Penolakan Permohonan Izin Poligami Dalam Kasus Pernikahan Siri Oleh Pengadilan Agama Singaraja (Studi Putusan Nomor 85/Pdt. G/2024/PA. Sgr)","volume":"8","author":[{"family":"Afifah","given":"Sabrina Witri"},{"family":"Setianto","given":"Muhamad Jodi"},{"family":"Dantes","given":"Komang Febrinayanti"}],"issued":{"date-parts":[["2025"]]}}}],"schema":"https://github.com/citation-style-language/schema/raw/master/csl-citation.json"} </w:instrText>
      </w:r>
      <w:r w:rsidR="009F233B" w:rsidRPr="002363B4">
        <w:rPr>
          <w:rFonts w:ascii="Footlight MT Light" w:eastAsia="Gentium Basic" w:hAnsi="Footlight MT Light" w:cs="Gentium Basic"/>
          <w:sz w:val="24"/>
          <w:szCs w:val="24"/>
          <w:lang w:val="id-ID"/>
        </w:rPr>
        <w:fldChar w:fldCharType="separate"/>
      </w:r>
      <w:r w:rsidR="009F233B" w:rsidRPr="002363B4">
        <w:rPr>
          <w:rFonts w:ascii="Footlight MT Light" w:eastAsia="Gentium Basic" w:hAnsi="Footlight MT Light"/>
          <w:sz w:val="24"/>
          <w:szCs w:val="24"/>
        </w:rPr>
        <w:t>(Afifah dkk., 2025)</w:t>
      </w:r>
      <w:r w:rsidR="009F233B"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Dengan demikian, hukum berfungsi sebagai alat rekayasa sosial (</w:t>
      </w:r>
      <w:r w:rsidRPr="002363B4">
        <w:rPr>
          <w:rFonts w:ascii="Footlight MT Light" w:eastAsia="Gentium Basic" w:hAnsi="Footlight MT Light" w:cs="Gentium Basic"/>
          <w:i/>
          <w:sz w:val="24"/>
          <w:szCs w:val="24"/>
        </w:rPr>
        <w:t>social engineering</w:t>
      </w:r>
      <w:r w:rsidRPr="002363B4">
        <w:rPr>
          <w:rFonts w:ascii="Footlight MT Light" w:eastAsia="Gentium Basic" w:hAnsi="Footlight MT Light" w:cs="Gentium Basic"/>
          <w:sz w:val="24"/>
          <w:szCs w:val="24"/>
        </w:rPr>
        <w:t>) yang mengarahkan praktik poligami agar tetap berada dalam koridor keadilan dan kemaslahatan keluarga.</w:t>
      </w:r>
    </w:p>
    <w:p w14:paraId="7971E9B9"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rPr>
        <w:t xml:space="preserve">Dalam kerangka tersebut, Pengadilan Agama memiliki peran strategis sebagai lembaga kontrol yudisial yang bertugas menilai secara objektif permohonan poligami. Pengadilan tidak hanya memeriksa kelengkapan administratif, tetapi juga menggali aspek substantif, seperti kejujuran alasan yang diajukan, kesiapan finansial suami, serta potensi dampak terhadap istri dan anak-anak. </w:t>
      </w:r>
      <w:r w:rsidRPr="002363B4">
        <w:rPr>
          <w:rFonts w:ascii="Footlight MT Light" w:eastAsia="Gentium Basic" w:hAnsi="Footlight MT Light" w:cs="Gentium Basic"/>
          <w:sz w:val="24"/>
          <w:szCs w:val="24"/>
          <w:lang w:val="pt-BR"/>
        </w:rPr>
        <w:t>Lebih dari itu, persetujuan istri pertama harus dipastikan diberikan secara sadar, bebas dari tekanan, dan didasarkan pada informasi yang memadai. Hal ini penting untuk menjamin bahwa istri pertama diposisikan sebagai subjek hukum yang memiliki otonomi dalam menentukan keberlanjutan relasi perkawinannya.</w:t>
      </w:r>
    </w:p>
    <w:p w14:paraId="222068C0"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Namun demikian, realitas empiris menunjukkan bahwa implementasi norma hukum tersebut masih menghadapi berbagai kendala. Praktik poligami tanpa izin pengadilan masih sering terjadi, baik melalui perkawinan siri yang tidak dicatatkan secara resmi, maupun melalui manipulasi prosedur hukum di Pengadilan Agama. Dalam sejumlah kasus, ditemukan adanya pemalsuan tanda tangan persetujuan istri, pemberian keterangan palsu mengenai kondisi rumah tangga, serta rekayasa alasan untuk memenuhi persyaratan formal yang ditentukan oleh undang-undang. Fenomena ini menunjukkan adanya kesenjangan yang cukup lebar antara norma hukum yang bersifat ideal dengan praktik di lapangan yang cenderung pragmatis dan manipulatif.</w:t>
      </w:r>
    </w:p>
    <w:p w14:paraId="505F620B"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Kesenjangan tersebut berdampak langsung pada lemahnya perlindungan hukum bagi istri pertama. Dalam praktik poligami tanpa izin, istri pertama seringkali tidak memiliki posisi tawar yang memadai, baik secara hukum maupun sosial. Mereka kerap dihadapkan pada situasi yang merugikan, seperti berkurangnya nafkah, ketidakpastian status hukum, hingga konflik rumah tangga yang berkepanjangan. Dalam konteks tertentu, istri pertama bahkan mengalami penelantaran, baik secara ekonomi maupun emosional. Kondisi ini menunjukkan bahwa instrumen perlindungan hukum yang telah dirumuskan dalam peraturan perundang-undangan belum sepenuhnya efektif dalam memberikan jaminan keadilan</w:t>
      </w:r>
      <w:r w:rsidR="00F57C62" w:rsidRPr="002363B4">
        <w:rPr>
          <w:rFonts w:ascii="Footlight MT Light" w:eastAsia="Gentium Basic" w:hAnsi="Footlight MT Light" w:cs="Gentium Basic"/>
          <w:sz w:val="24"/>
          <w:szCs w:val="24"/>
          <w:lang w:val="id-ID"/>
        </w:rPr>
        <w:t xml:space="preserve">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{"citationID":"gmB3raEF","properties":{"unsorted":false,"formattedCitation":"(Daharis dkk., 2025)","plainCitation":"(Daharis dkk., 2025)","noteIndex":0},"citationItems":[{"id":3410,"uris":["http://zotero.org/users/local/OLR5BNKJ/items/GJDRWNBB"],"itemData":{"id":3410,"type":"article-journal","container-title":"Jurnal Kolaboratif Sains","issue":"6","page":"3896–3904","source":"Google Scholar","title":"Analisis Perbandingan Hukum Keluarga Islam dan Hukum Positif dalam Menyelesaikan Masalah Poligami","volume":"8","author":[{"family":"Daharis","given":"Ade"},{"family":"Pujiningsih","given":"Diana"},{"family":"Raudhoh","given":"Hilmi Siti"},{"family":"Amili","given":"Halisma"}],"issued":{"date-parts":[["2025"]]}}}],"schema":"https://github.com/citation-style-language/schema/raw/master/csl-citation.json"}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(Daharis dkk., 2025)</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pt-BR"/>
        </w:rPr>
        <w:t>.</w:t>
      </w:r>
    </w:p>
    <w:p w14:paraId="76412718"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 xml:space="preserve">Fenomena tersebut juga dapat diamati dalam konteks lokal di Kota Gorontalo. Data dari Pengadilan Agama Kota Gorontalo menunjukkan adanya tren peningkatan kasus poligami tanpa </w:t>
      </w:r>
      <w:r w:rsidRPr="002363B4">
        <w:rPr>
          <w:rFonts w:ascii="Footlight MT Light" w:eastAsia="Gentium Basic" w:hAnsi="Footlight MT Light" w:cs="Gentium Basic"/>
          <w:sz w:val="24"/>
          <w:szCs w:val="24"/>
          <w:lang w:val="pt-BR"/>
        </w:rPr>
        <w:lastRenderedPageBreak/>
        <w:t>izin dalam beberapa tahun terakhir. Pada tahun 2023 tercatat sebanyak 3 kasus, meningkat menjadi 4 kasus pada tahun 2024, dan kembali naik menjadi 6 kasus pada tahun 2025. Meskipun secara kuantitatif jumlah tersebut relatif kecil, namun peningkatan yang konsisten mengindikasikan adanya kecenderungan yang perlu diwaspadai. Hal ini menunjukkan bahwa praktik poligami tanpa izin tidak lagi bersifat insidental, melainkan telah berkembang menjadi persoalan hukum dan sosial yang memerlukan perhatian serius dari berbagai pihak.</w:t>
      </w:r>
    </w:p>
    <w:p w14:paraId="3C85C186"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Permasalahan ini tidak dapat dilepaskan dari faktor-faktor struktural dan kultural yang mempengaruhi perilaku masyarakat</w:t>
      </w:r>
      <w:r w:rsidR="00832AAD" w:rsidRPr="002363B4">
        <w:rPr>
          <w:rFonts w:ascii="Footlight MT Light" w:eastAsia="Gentium Basic" w:hAnsi="Footlight MT Light" w:cs="Gentium Basic"/>
          <w:sz w:val="24"/>
          <w:szCs w:val="24"/>
          <w:lang w:val="id-ID"/>
        </w:rPr>
        <w:t xml:space="preserve"> </w:t>
      </w:r>
      <w:r w:rsidR="00832AAD" w:rsidRPr="002363B4">
        <w:rPr>
          <w:rFonts w:ascii="Footlight MT Light" w:eastAsia="Gentium Basic" w:hAnsi="Footlight MT Light" w:cs="Gentium Basic"/>
          <w:sz w:val="24"/>
          <w:szCs w:val="24"/>
          <w:lang w:val="id-ID"/>
        </w:rPr>
        <w:fldChar w:fldCharType="begin"/>
      </w:r>
      <w:r w:rsidR="00832AAD" w:rsidRPr="002363B4">
        <w:rPr>
          <w:rFonts w:ascii="Footlight MT Light" w:eastAsia="Gentium Basic" w:hAnsi="Footlight MT Light" w:cs="Gentium Basic"/>
          <w:sz w:val="24"/>
          <w:szCs w:val="24"/>
          <w:lang w:val="id-ID"/>
        </w:rPr>
        <w:instrText xml:space="preserve"> ADDIN ZOTERO_ITEM CSL_CITATION {"citationID":"wCrO2ppR","properties":{"unsorted":false,"formattedCitation":"(Daud dkk., 2024)","plainCitation":"(Daud dkk., 2024)","noteIndex":0},"citationItems":[{"id":2683,"uris":["http://zotero.org/users/local/OLR5BNKJ/items/2ME5WH3H"],"itemData":{"id":2683,"type":"article-journal","abstract":"The integration of local wisdom in the role of village heads as mediators of industrial relations disputes is an effective strategy in rural conflict resolution. Local wisdom, which is a community's traditional knowledge and practices, can be used to understand and resolve complex conflicts. The village head, as a respected figure with traditional knowledge, can serve as an effective mediator in resolving industrial relations disputes. The results show that village heads play an important role as mediators by integrating local wisdom principles such as deliberation, mutual cooperation, and harmony in the mediation process. The custom-based approach proved effective in reaching an agreement that was acceptable to both parties and maintaining social harmony in the village. However, challenges arise when dealing with large companies or disputes involving formal legal aspects. This research provides new insights into the potential integration of local wisdom in the resolution of industrial relations disputes at the village level, as well as the implications for the development of a more contextualized alternative dispute resolution system in Indonesia. The analysis will discuss how the integration of local wisdom in the role of the village head can improve the effectiveness of conflict resolution in rural areas.","container-title":"International Journal of Sociology and Law","DOI":"10.62951/ijsl.v1i4.202","ISSN":"3047-0692, 3047-1923","issue":"4","journalAbbreviation":"IJSL","language":"en","license":"https://creativecommons.org/licenses/by-sa/4.0","page":"254-264","source":"DOI.org (Crossref)","title":"Integration of Local Wisdom in the Role of Village Heads as Mediators of Industrial Relations Disputes","volume":"1","author":[{"family":"Daud","given":"Sarah Magfirah"},{"family":"Kasim","given":"Nur Mohamad"},{"family":"Dungga","given":"Weny Almoravid"}],"issued":{"date-parts":[["2024",10,19]]}}}],"schema":"https://github.com/citation-style-language/schema/raw/master/csl-citation.json"} </w:instrText>
      </w:r>
      <w:r w:rsidR="00832AAD" w:rsidRPr="002363B4">
        <w:rPr>
          <w:rFonts w:ascii="Footlight MT Light" w:eastAsia="Gentium Basic" w:hAnsi="Footlight MT Light" w:cs="Gentium Basic"/>
          <w:sz w:val="24"/>
          <w:szCs w:val="24"/>
          <w:lang w:val="id-ID"/>
        </w:rPr>
        <w:fldChar w:fldCharType="separate"/>
      </w:r>
      <w:r w:rsidR="00832AAD" w:rsidRPr="002363B4">
        <w:rPr>
          <w:rFonts w:ascii="Footlight MT Light" w:eastAsia="Gentium Basic" w:hAnsi="Footlight MT Light"/>
          <w:sz w:val="24"/>
          <w:szCs w:val="24"/>
        </w:rPr>
        <w:t>(Daud dkk., 2024)</w:t>
      </w:r>
      <w:r w:rsidR="00832AAD"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pt-BR"/>
        </w:rPr>
        <w:t>. Budaya patriarki yang masih kuat menempatkan laki-laki pada posisi dominan dalam relasi keluarga, sehingga keputusan untuk berpoligami seringkali diambil tanpa mempertimbangkan secara proporsional kepentingan istri pertama. Selain itu, rendahnya literasi hukum masyarakat menyebabkan banyak pihak tidak memahami prosedur dan konsekuensi hukum dari praktik poligami tanpa izin. Lemahnya pengawasan dari negara serta terbatasnya akses terhadap layanan hukum juga turut memperparah kondisi tersebut. Dalam banyak kasus, ketergantungan ekonomi istri terhadap suami menjadi faktor utama yang menghambat mereka untuk menolak atau menggugat praktik poligami yang tidak sesuai dengan ketentuan hukum.</w:t>
      </w:r>
    </w:p>
    <w:p w14:paraId="725E0A9E"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r w:rsidRPr="002363B4">
        <w:rPr>
          <w:rFonts w:ascii="Footlight MT Light" w:eastAsia="Gentium Basic" w:hAnsi="Footlight MT Light" w:cs="Gentium Basic"/>
          <w:sz w:val="24"/>
          <w:szCs w:val="24"/>
          <w:lang w:val="pt-BR"/>
        </w:rPr>
        <w:t xml:space="preserve">Lebih lanjut, praktik poligami siri yang tidak dicatatkan secara resmi menimbulkan persoalan hukum yang lebih kompleks. </w:t>
      </w:r>
      <w:proofErr w:type="spellStart"/>
      <w:r w:rsidRPr="002363B4">
        <w:rPr>
          <w:rFonts w:ascii="Footlight MT Light" w:eastAsia="Gentium Basic" w:hAnsi="Footlight MT Light" w:cs="Gentium Basic"/>
          <w:sz w:val="24"/>
          <w:szCs w:val="24"/>
          <w:lang w:val="en-US"/>
        </w:rPr>
        <w:t>Ketidakadaan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pencatatan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menyebabkan</w:t>
      </w:r>
      <w:proofErr w:type="spellEnd"/>
      <w:r w:rsidRPr="002363B4">
        <w:rPr>
          <w:rFonts w:ascii="Footlight MT Light" w:eastAsia="Gentium Basic" w:hAnsi="Footlight MT Light" w:cs="Gentium Basic"/>
          <w:sz w:val="24"/>
          <w:szCs w:val="24"/>
          <w:lang w:val="en-US"/>
        </w:rPr>
        <w:t xml:space="preserve"> negara </w:t>
      </w:r>
      <w:proofErr w:type="spellStart"/>
      <w:r w:rsidRPr="002363B4">
        <w:rPr>
          <w:rFonts w:ascii="Footlight MT Light" w:eastAsia="Gentium Basic" w:hAnsi="Footlight MT Light" w:cs="Gentium Basic"/>
          <w:sz w:val="24"/>
          <w:szCs w:val="24"/>
          <w:lang w:val="en-US"/>
        </w:rPr>
        <w:t>kehilangan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instrumen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administratif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untuk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melakukan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pengawasan</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Akibatnya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maupun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kedua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berada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posisi</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rentan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terutama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pembuktian</w:t>
      </w:r>
      <w:proofErr w:type="spellEnd"/>
      <w:r w:rsidRPr="002363B4">
        <w:rPr>
          <w:rFonts w:ascii="Footlight MT Light" w:eastAsia="Gentium Basic" w:hAnsi="Footlight MT Light" w:cs="Gentium Basic"/>
          <w:sz w:val="24"/>
          <w:szCs w:val="24"/>
          <w:lang w:val="en-US"/>
        </w:rPr>
        <w:t xml:space="preserve"> status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atas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nafkah</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terhadap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anak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situasi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seperti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seharusnya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berfungsi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sebagai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alat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justru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efektif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karena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dapat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menjangkau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praktik-praktik</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berlangsung</w:t>
      </w:r>
      <w:proofErr w:type="spellEnd"/>
      <w:r w:rsidRPr="002363B4">
        <w:rPr>
          <w:rFonts w:ascii="Footlight MT Light" w:eastAsia="Gentium Basic" w:hAnsi="Footlight MT Light" w:cs="Gentium Basic"/>
          <w:sz w:val="24"/>
          <w:szCs w:val="24"/>
          <w:lang w:val="en-US"/>
        </w:rPr>
        <w:t xml:space="preserve"> di </w:t>
      </w:r>
      <w:proofErr w:type="spellStart"/>
      <w:r w:rsidRPr="002363B4">
        <w:rPr>
          <w:rFonts w:ascii="Footlight MT Light" w:eastAsia="Gentium Basic" w:hAnsi="Footlight MT Light" w:cs="Gentium Basic"/>
          <w:sz w:val="24"/>
          <w:szCs w:val="24"/>
          <w:lang w:val="en-US"/>
        </w:rPr>
        <w:t>luar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sistem</w:t>
      </w:r>
      <w:proofErr w:type="spellEnd"/>
      <w:r w:rsidRPr="002363B4">
        <w:rPr>
          <w:rFonts w:ascii="Footlight MT Light" w:eastAsia="Gentium Basic" w:hAnsi="Footlight MT Light" w:cs="Gentium Basic"/>
          <w:sz w:val="24"/>
          <w:szCs w:val="24"/>
          <w:lang w:val="en-US"/>
        </w:rPr>
        <w:t xml:space="preserve"> formal.</w:t>
      </w:r>
    </w:p>
    <w:p w14:paraId="1CCA408B"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pt-BR"/>
        </w:rPr>
      </w:pP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perspektif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perbandingan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beberapa</w:t>
      </w:r>
      <w:proofErr w:type="spellEnd"/>
      <w:r w:rsidRPr="002363B4">
        <w:rPr>
          <w:rFonts w:ascii="Footlight MT Light" w:eastAsia="Gentium Basic" w:hAnsi="Footlight MT Light" w:cs="Gentium Basic"/>
          <w:sz w:val="24"/>
          <w:szCs w:val="24"/>
          <w:lang w:val="en-US"/>
        </w:rPr>
        <w:t xml:space="preserve"> negara </w:t>
      </w:r>
      <w:proofErr w:type="spellStart"/>
      <w:r w:rsidRPr="002363B4">
        <w:rPr>
          <w:rFonts w:ascii="Footlight MT Light" w:eastAsia="Gentium Basic" w:hAnsi="Footlight MT Light" w:cs="Gentium Basic"/>
          <w:sz w:val="24"/>
          <w:szCs w:val="24"/>
          <w:lang w:val="en-US"/>
        </w:rPr>
        <w:t>telah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mengembangkan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mekanisme</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lebih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mengatur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seperti</w:t>
      </w:r>
      <w:proofErr w:type="spellEnd"/>
      <w:r w:rsidRPr="002363B4">
        <w:rPr>
          <w:rFonts w:ascii="Footlight MT Light" w:eastAsia="Gentium Basic" w:hAnsi="Footlight MT Light" w:cs="Gentium Basic"/>
          <w:sz w:val="24"/>
          <w:szCs w:val="24"/>
          <w:lang w:val="en-US"/>
        </w:rPr>
        <w:t xml:space="preserve"> Malaysia, </w:t>
      </w:r>
      <w:proofErr w:type="spellStart"/>
      <w:r w:rsidRPr="002363B4">
        <w:rPr>
          <w:rFonts w:ascii="Footlight MT Light" w:eastAsia="Gentium Basic" w:hAnsi="Footlight MT Light" w:cs="Gentium Basic"/>
          <w:sz w:val="24"/>
          <w:szCs w:val="24"/>
          <w:lang w:val="en-US"/>
        </w:rPr>
        <w:t>Maroko</w:t>
      </w:r>
      <w:proofErr w:type="spellEnd"/>
      <w:r w:rsidRPr="002363B4">
        <w:rPr>
          <w:rFonts w:ascii="Footlight MT Light" w:eastAsia="Gentium Basic" w:hAnsi="Footlight MT Light" w:cs="Gentium Basic"/>
          <w:sz w:val="24"/>
          <w:szCs w:val="24"/>
          <w:lang w:val="en-US"/>
        </w:rPr>
        <w:t xml:space="preserve">, dan Mesir, yang </w:t>
      </w:r>
      <w:proofErr w:type="spellStart"/>
      <w:r w:rsidRPr="002363B4">
        <w:rPr>
          <w:rFonts w:ascii="Footlight MT Light" w:eastAsia="Gentium Basic" w:hAnsi="Footlight MT Light" w:cs="Gentium Basic"/>
          <w:sz w:val="24"/>
          <w:szCs w:val="24"/>
          <w:lang w:val="en-US"/>
        </w:rPr>
        <w:t>menekankan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pentingnya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kontrol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yudisial</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kuat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serta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verifikasi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persetujuan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secara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lebih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komprehensif</w:t>
      </w:r>
      <w:proofErr w:type="spellEnd"/>
      <w:r w:rsidRPr="002363B4">
        <w:rPr>
          <w:rFonts w:ascii="Footlight MT Light" w:eastAsia="Gentium Basic" w:hAnsi="Footlight MT Light" w:cs="Gentium Basic"/>
          <w:sz w:val="24"/>
          <w:szCs w:val="24"/>
          <w:lang w:val="en-US"/>
        </w:rPr>
        <w:t xml:space="preserve">. </w:t>
      </w:r>
      <w:r w:rsidRPr="002363B4">
        <w:rPr>
          <w:rFonts w:ascii="Footlight MT Light" w:eastAsia="Gentium Basic" w:hAnsi="Footlight MT Light" w:cs="Gentium Basic"/>
          <w:sz w:val="24"/>
          <w:szCs w:val="24"/>
          <w:lang w:val="pt-BR"/>
        </w:rPr>
        <w:t>Bahkan di beberapa negara Eropa, praktik poligami tidak diakui secara hukum dan dikenai sanksi tegas. Perbandingan ini menunjukkan bahwa efektivitas perlindungan hukum sangat bergantung pada konsistensi penegakan hukum dan keberanian negara dalam menempatkan perlindungan perempuan sebagai prioritas utama dalam kebijakan hukum keluarga.</w:t>
      </w:r>
    </w:p>
    <w:p w14:paraId="161AD2C4" w14:textId="77777777" w:rsidR="008D776B" w:rsidRPr="002363B4" w:rsidRDefault="009603EF"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Berdasarkan uraian tersebut, dapat disimpulkan bahwa permasalahan poligami tanpa izin pengadilan tidak hanya berkaitan dengan aspek normatif, tetapi juga menyangkut dimensi implementasi, budaya hukum, dan kebijakan publik. Oleh karena itu, diperlukan kajian hukum yang komprehensif untuk menganalisis sejauh mana efektivitas instrumen perlindungan hukum bagi istri pertama, serta untuk merumuskan langkah-langkah pembaruan yang lebih responsif terhadap prinsip keadilan gender. Pendekatan normatif yang dipadukan dengan analisis perbandingan hukum menjadi penting untuk menghasilkan rekomendasi yang tidak hanya teoritis, tetapi juga aplikatif dalam konteks pembaruan hukum keluarga di Indonesia</w:t>
      </w:r>
      <w:r w:rsidR="00B109B1" w:rsidRPr="002363B4">
        <w:rPr>
          <w:rFonts w:ascii="Footlight MT Light" w:eastAsia="Gentium Basic" w:hAnsi="Footlight MT Light" w:cs="Gentium Basic"/>
          <w:color w:val="000000"/>
          <w:sz w:val="24"/>
          <w:szCs w:val="24"/>
        </w:rPr>
        <w:t>.</w:t>
      </w:r>
    </w:p>
    <w:p w14:paraId="0DE0F4A3" w14:textId="77777777" w:rsidR="008D776B" w:rsidRPr="002363B4" w:rsidRDefault="008C1D4F" w:rsidP="002363B4">
      <w:pPr>
        <w:pBdr>
          <w:top w:val="nil"/>
          <w:left w:val="nil"/>
          <w:bottom w:val="nil"/>
          <w:right w:val="nil"/>
          <w:between w:val="nil"/>
        </w:pBdr>
        <w:spacing w:before="240" w:line="276" w:lineRule="auto"/>
        <w:rPr>
          <w:rFonts w:ascii="Footlight MT Light" w:eastAsia="Gentium Basic" w:hAnsi="Footlight MT Light" w:cs="Gentium Basic"/>
          <w:b/>
          <w:color w:val="000000"/>
          <w:sz w:val="24"/>
          <w:szCs w:val="24"/>
        </w:rPr>
      </w:pPr>
      <w:r w:rsidRPr="002363B4">
        <w:rPr>
          <w:rFonts w:ascii="Footlight MT Light" w:eastAsia="Gentium Basic" w:hAnsi="Footlight MT Light" w:cs="Gentium Basic"/>
          <w:b/>
          <w:color w:val="000000"/>
          <w:sz w:val="24"/>
          <w:szCs w:val="24"/>
        </w:rPr>
        <w:t>METODE PE</w:t>
      </w:r>
      <w:r w:rsidRPr="002363B4">
        <w:rPr>
          <w:rFonts w:ascii="Footlight MT Light" w:eastAsia="Gentium Basic" w:hAnsi="Footlight MT Light" w:cs="Gentium Basic"/>
          <w:b/>
          <w:sz w:val="24"/>
          <w:szCs w:val="24"/>
        </w:rPr>
        <w:t>NELITIA</w:t>
      </w:r>
      <w:r w:rsidR="00B109B1" w:rsidRPr="002363B4">
        <w:rPr>
          <w:rFonts w:ascii="Footlight MT Light" w:eastAsia="Gentium Basic" w:hAnsi="Footlight MT Light" w:cs="Gentium Basic"/>
          <w:b/>
          <w:color w:val="000000"/>
          <w:sz w:val="24"/>
          <w:szCs w:val="24"/>
        </w:rPr>
        <w:t>N</w:t>
      </w:r>
    </w:p>
    <w:p w14:paraId="0A15C8AA" w14:textId="77777777" w:rsidR="00B109B1" w:rsidRPr="002363B4" w:rsidRDefault="00B109B1"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t>Penelitian ini merupakan penelitian hukum normatif (</w:t>
      </w:r>
      <w:r w:rsidRPr="002363B4">
        <w:rPr>
          <w:rFonts w:ascii="Footlight MT Light" w:eastAsia="Gentium Basic" w:hAnsi="Footlight MT Light" w:cs="Gentium Basic"/>
          <w:i/>
          <w:sz w:val="24"/>
          <w:szCs w:val="24"/>
        </w:rPr>
        <w:t>normative legal research</w:t>
      </w:r>
      <w:r w:rsidRPr="002363B4">
        <w:rPr>
          <w:rFonts w:ascii="Footlight MT Light" w:eastAsia="Gentium Basic" w:hAnsi="Footlight MT Light" w:cs="Gentium Basic"/>
          <w:sz w:val="24"/>
          <w:szCs w:val="24"/>
        </w:rPr>
        <w:t>) dengan tiga pendekatan utama, yaitu pendekatan perundang-undangan (</w:t>
      </w:r>
      <w:r w:rsidRPr="002363B4">
        <w:rPr>
          <w:rFonts w:ascii="Footlight MT Light" w:eastAsia="Gentium Basic" w:hAnsi="Footlight MT Light" w:cs="Gentium Basic"/>
          <w:i/>
          <w:sz w:val="24"/>
          <w:szCs w:val="24"/>
        </w:rPr>
        <w:t>statute approach</w:t>
      </w:r>
      <w:r w:rsidRPr="002363B4">
        <w:rPr>
          <w:rFonts w:ascii="Footlight MT Light" w:eastAsia="Gentium Basic" w:hAnsi="Footlight MT Light" w:cs="Gentium Basic"/>
          <w:sz w:val="24"/>
          <w:szCs w:val="24"/>
        </w:rPr>
        <w:t>), pendekatan konseptual (</w:t>
      </w:r>
      <w:r w:rsidRPr="002363B4">
        <w:rPr>
          <w:rFonts w:ascii="Footlight MT Light" w:eastAsia="Gentium Basic" w:hAnsi="Footlight MT Light" w:cs="Gentium Basic"/>
          <w:i/>
          <w:sz w:val="24"/>
          <w:szCs w:val="24"/>
        </w:rPr>
        <w:t>conceptual approach</w:t>
      </w:r>
      <w:r w:rsidRPr="002363B4">
        <w:rPr>
          <w:rFonts w:ascii="Footlight MT Light" w:eastAsia="Gentium Basic" w:hAnsi="Footlight MT Light" w:cs="Gentium Basic"/>
          <w:sz w:val="24"/>
          <w:szCs w:val="24"/>
        </w:rPr>
        <w:t>), dan pendekatan perbandingan hukum (</w:t>
      </w:r>
      <w:r w:rsidRPr="002363B4">
        <w:rPr>
          <w:rFonts w:ascii="Footlight MT Light" w:eastAsia="Gentium Basic" w:hAnsi="Footlight MT Light" w:cs="Gentium Basic"/>
          <w:i/>
          <w:sz w:val="24"/>
          <w:szCs w:val="24"/>
        </w:rPr>
        <w:t>comparative approach</w:t>
      </w:r>
      <w:r w:rsidRPr="002363B4">
        <w:rPr>
          <w:rFonts w:ascii="Footlight MT Light" w:eastAsia="Gentium Basic" w:hAnsi="Footlight MT Light" w:cs="Gentium Basic"/>
          <w:sz w:val="24"/>
          <w:szCs w:val="24"/>
        </w:rPr>
        <w:t>)</w:t>
      </w:r>
      <w:r w:rsidR="00F57C62" w:rsidRPr="002363B4">
        <w:rPr>
          <w:rFonts w:ascii="Footlight MT Light" w:eastAsia="Gentium Basic" w:hAnsi="Footlight MT Light" w:cs="Gentium Basic"/>
          <w:sz w:val="24"/>
          <w:szCs w:val="24"/>
          <w:lang w:val="id-ID"/>
        </w:rPr>
        <w:t xml:space="preserve">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{"citationID":"EX1dQgye","properties":{"unsorted":false,"formattedCitation":"(Ali, 2021)","plainCitation":"(Ali, 2021)","noteIndex":0},"citationItems":[{"id":263,"uris":["http://zotero.org/users/local/OLR5BNKJ/items/2UZFL5MD"],"itemData":{"id":263,"type":"book","publisher":"Sinar Grafika","publisher-place":"Jakarta","title":"Metode Penelitian Hukum","author":[{"family":"Ali","given":"Zainudin"}],"issued":{"date-parts":[["2021"]]}}}],"schema":"https://github.com/citation-style-language/schema/raw/master/csl-citation.json"}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(Ali, 2021)</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Pendekatan perundang-undangan digunakan untuk mengkaji dan menafsirkan ketentuan hukum yang mengatur poligami dalam Undang-Undang Nomor 1 Tahun 1974 tentang Perkawinan, Kompilasi Hukum Islam, Peraturan Pemerintah Nomor 9 Tahun 1975, Undang-</w:t>
      </w:r>
      <w:r w:rsidRPr="002363B4">
        <w:rPr>
          <w:rFonts w:ascii="Footlight MT Light" w:eastAsia="Gentium Basic" w:hAnsi="Footlight MT Light" w:cs="Gentium Basic"/>
          <w:sz w:val="24"/>
          <w:szCs w:val="24"/>
        </w:rPr>
        <w:lastRenderedPageBreak/>
        <w:t>Undang Nomor 1 Tahun 2023 tentang Kitab Undang-Undang Hukum Pidana, serta ketentuan hukum pidana lain yang berkaitan dengan poligami tanpa izin pengadilan.</w:t>
      </w:r>
    </w:p>
    <w:p w14:paraId="00BFE51F" w14:textId="77777777" w:rsidR="00B109B1" w:rsidRPr="002363B4" w:rsidRDefault="00B109B1"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t>Pendekatan konseptual digunakan untuk menganalisis konsep perlindungan hukum, keadilan gender, dan hak-hak perempuan dalam hukum keluarga Islam maupun dalam kerangka hak asasi manusia. Pendekatan ini membantu menjelaskan bagaimana prinsip perlindungan, keadilan, dan kesetaraan gender seharusnya diartikulasikan dalam pengaturan poligami dan mekanisme p</w:t>
      </w:r>
      <w:r w:rsidR="008628D0" w:rsidRPr="002363B4">
        <w:rPr>
          <w:rFonts w:ascii="Footlight MT Light" w:eastAsia="Gentium Basic" w:hAnsi="Footlight MT Light" w:cs="Gentium Basic"/>
          <w:sz w:val="24"/>
          <w:szCs w:val="24"/>
        </w:rPr>
        <w:t>erlindungan bagi istri pertama.</w:t>
      </w:r>
      <w:r w:rsidR="008628D0" w:rsidRPr="002363B4">
        <w:rPr>
          <w:rFonts w:ascii="Footlight MT Light" w:eastAsia="Gentium Basic" w:hAnsi="Footlight MT Light" w:cs="Gentium Basic"/>
          <w:sz w:val="24"/>
          <w:szCs w:val="24"/>
          <w:lang w:val="id-ID"/>
        </w:rPr>
        <w:t xml:space="preserve"> </w:t>
      </w:r>
      <w:r w:rsidRPr="002363B4">
        <w:rPr>
          <w:rFonts w:ascii="Footlight MT Light" w:eastAsia="Gentium Basic" w:hAnsi="Footlight MT Light" w:cs="Gentium Basic"/>
          <w:sz w:val="24"/>
          <w:szCs w:val="24"/>
        </w:rPr>
        <w:t>Pendekatan perbandingan hukum dilakukan dengan membandingkan pengaturan dan mekanisme penyelesaian sengketa poligami di Indonesia dengan beberapa negara, yaitu Malaysia, Maroko, Mesir, Tunisia, dan beberapa negara Eropa seperti Prancis, Jerman, dan Belanda. Perbandingan ini dimaksudkan untuk mengidentifikasi model kontrol yudisial, pola penegakan hukum, serta bentuk perlindungan terhadap istri dan anak dalam konteks poligami atau larangan poligami.</w:t>
      </w:r>
    </w:p>
    <w:p w14:paraId="5CC5950D" w14:textId="77777777" w:rsidR="008D776B" w:rsidRPr="002363B4" w:rsidRDefault="00B109B1"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t>Bahan hukum yang digunakan meliputi bahan hukum primer berupa peraturan perundang-undangan, putusan pengadilan, dan instrumen hukum internasional yang relevan; bahan hukum sekunder berupa buku, artikel jurnal, hasil penelitian terdahulu, dan laporan lembaga terkait; serta bahan hukum tersier berupa kamus hukum dan ensiklopedia hukum. Teknik pengumpulan bahan hukum dilakukan melalui studi kepustakaan (</w:t>
      </w:r>
      <w:r w:rsidRPr="002363B4">
        <w:rPr>
          <w:rFonts w:ascii="Footlight MT Light" w:eastAsia="Gentium Basic" w:hAnsi="Footlight MT Light" w:cs="Gentium Basic"/>
          <w:i/>
          <w:sz w:val="24"/>
          <w:szCs w:val="24"/>
        </w:rPr>
        <w:t>library research</w:t>
      </w:r>
      <w:r w:rsidRPr="002363B4">
        <w:rPr>
          <w:rFonts w:ascii="Footlight MT Light" w:eastAsia="Gentium Basic" w:hAnsi="Footlight MT Light" w:cs="Gentium Basic"/>
          <w:sz w:val="24"/>
          <w:szCs w:val="24"/>
        </w:rPr>
        <w:t>). Analisis bahan hukum dilakukan secara deskriptif-kualitatif dengan menafsirkan norma-norma hukum, mengkonstruksi argumentasi berdasarkan doktrin dan putusan, serta menghubungkannya dengan realitas praktik peradilan dan sosial di lapangan</w:t>
      </w:r>
      <w:r w:rsidR="00F57C62" w:rsidRPr="002363B4">
        <w:rPr>
          <w:rFonts w:ascii="Footlight MT Light" w:eastAsia="Gentium Basic" w:hAnsi="Footlight MT Light" w:cs="Gentium Basic"/>
          <w:sz w:val="24"/>
          <w:szCs w:val="24"/>
          <w:lang w:val="id-ID"/>
        </w:rPr>
        <w:t xml:space="preserve">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{"citationID":"zGuWPUm4","properties":{"unsorted":false,"formattedCitation":"(Irwansyah, 2020)","plainCitation":"(Irwansyah, 2020)","noteIndex":0},"citationItems":[{"id":267,"uris":["http://zotero.org/users/local/OLR5BNKJ/items/PBBX9FP7"],"itemData":{"id":267,"type":"book","publisher":"Mirra Buana Media","publisher-place":"Yogyakarta","title":"Penelitian Hukum : Pilihan Metode dan praktik penulisan Artikel","author":[{"family":"Irwansyah","given":""}],"issued":{"date-parts":[["2020"]]}}}],"schema":"https://github.com/citation-style-language/schema/raw/master/csl-citation.json"}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(Irwansyah, 2020)</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color w:val="000000"/>
          <w:sz w:val="24"/>
          <w:szCs w:val="24"/>
        </w:rPr>
        <w:t>.</w:t>
      </w:r>
    </w:p>
    <w:p w14:paraId="0429BC3A" w14:textId="77777777" w:rsidR="008D776B" w:rsidRPr="002363B4" w:rsidRDefault="00B109B1" w:rsidP="002363B4">
      <w:pPr>
        <w:spacing w:before="240" w:line="276" w:lineRule="auto"/>
        <w:jc w:val="both"/>
        <w:rPr>
          <w:rFonts w:ascii="Footlight MT Light" w:eastAsia="Gentium Basic" w:hAnsi="Footlight MT Light" w:cs="Gentium Basic"/>
          <w:sz w:val="24"/>
          <w:szCs w:val="24"/>
        </w:rPr>
      </w:pPr>
      <w:r w:rsidRPr="002363B4">
        <w:rPr>
          <w:rFonts w:ascii="Footlight MT Light" w:eastAsia="Gentium Basic" w:hAnsi="Footlight MT Light" w:cs="Gentium Basic"/>
          <w:b/>
          <w:sz w:val="24"/>
          <w:szCs w:val="24"/>
        </w:rPr>
        <w:t xml:space="preserve">HASIL DAN PEMBAHASAN </w:t>
      </w:r>
    </w:p>
    <w:p w14:paraId="5026AF1F" w14:textId="6133D865" w:rsidR="00B109B1" w:rsidRPr="002363B4" w:rsidRDefault="00B109B1" w:rsidP="002363B4">
      <w:pPr>
        <w:spacing w:after="60" w:line="276" w:lineRule="auto"/>
        <w:jc w:val="both"/>
        <w:rPr>
          <w:rFonts w:ascii="Footlight MT Light" w:eastAsia="Gentium Basic" w:hAnsi="Footlight MT Light" w:cs="Gentium Basic"/>
          <w:b/>
          <w:sz w:val="24"/>
          <w:szCs w:val="24"/>
        </w:rPr>
      </w:pPr>
      <w:bookmarkStart w:id="0" w:name="_heading=h.gjdgxs" w:colFirst="0" w:colLast="0"/>
      <w:bookmarkEnd w:id="0"/>
      <w:r w:rsidRPr="002363B4">
        <w:rPr>
          <w:rFonts w:ascii="Footlight MT Light" w:eastAsia="Gentium Basic" w:hAnsi="Footlight MT Light" w:cs="Gentium Basic"/>
          <w:b/>
          <w:sz w:val="24"/>
          <w:szCs w:val="24"/>
        </w:rPr>
        <w:t>Pengaturan Perlindungan Hukum bagi Istri Pertama dalam Poligami Tanpa Izin Pengadilan</w:t>
      </w:r>
    </w:p>
    <w:p w14:paraId="77191EFC"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id-ID"/>
        </w:rPr>
      </w:pPr>
      <w:r w:rsidRPr="002363B4">
        <w:rPr>
          <w:rFonts w:ascii="Footlight MT Light" w:eastAsia="Gentium Basic" w:hAnsi="Footlight MT Light" w:cs="Gentium Basic"/>
          <w:sz w:val="24"/>
          <w:szCs w:val="24"/>
        </w:rPr>
        <w:t>Sistem hukum Indonesia pada dasarnya menganut asas monogami sebagaimana ditegaskan dalam Pasal 3 ayat (1) Undang-Undang Nomor 1 Tahun 1974 tentang Perkawinan, namun pada saat yang sama tetap membuka kemungkinan bagi seorang suami untuk beristri lebih dari satu dengan syarat yang sangat ketat</w:t>
      </w:r>
      <w:r w:rsidR="00F57C62" w:rsidRPr="002363B4">
        <w:rPr>
          <w:rFonts w:ascii="Footlight MT Light" w:eastAsia="Gentium Basic" w:hAnsi="Footlight MT Light" w:cs="Gentium Basic"/>
          <w:sz w:val="24"/>
          <w:szCs w:val="24"/>
          <w:lang w:val="id-ID"/>
        </w:rPr>
        <w:t xml:space="preserve">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{"citationID":"fTb7TBIn","properties":{"unsorted":false,"formattedCitation":"(Kasim, 2020)","plainCitation":"(Kasim, 2020)","noteIndex":0},"citationItems":[{"id":3374,"uris":["http://zotero.org/users/local/OLR5BNKJ/items/6JFWF5JK"],"itemData":{"id":3374,"type":"article-journal","container-title":"Jurnal Hukum &amp; Pembangunan","issue":"2","page":"540–548","source":"Google Scholar","title":"The Implementation of Modest and Simple Principle to Mahr as a Contribution to the Indonesian Marriage Law","volume":"50","author":[{"family":"Kasim","given":"Nur Mohamad"}],"issued":{"date-parts":[["2020"]]}}}],"schema":"https://github.com/citation-style-language/schema/raw/master/csl-citation.json"}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(Kasim, 2020)</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Pembukaan ruang poligami tersebut bukanlah pemberian kebebasan tanpa batas, melainkan pengecualian yang dikendalikan oleh hukum agar tidak menimbulkan ketidakadilan dalam rumah tangga. Karena itu, Pasal 4 dan Pasal 5 Undang-Undang Perkawinan mewajibkan adanya izin pengadilan, persetujuan istri pertama, serta pembuktian alasan-alasan tertentu yang secara limitatif dibenarkan oleh undang-undang, seperti istri tidak dapat menjalankan kewajiban, istri menderita cacat badan atau penyakit yang tidak dapat disembuhkan, atau istri tidak dapat melahirkan keturunan</w:t>
      </w:r>
      <w:r w:rsidR="00F57C62" w:rsidRPr="002363B4">
        <w:rPr>
          <w:rFonts w:ascii="Footlight MT Light" w:eastAsia="Gentium Basic" w:hAnsi="Footlight MT Light" w:cs="Gentium Basic"/>
          <w:sz w:val="24"/>
          <w:szCs w:val="24"/>
          <w:lang w:val="id-ID"/>
        </w:rPr>
        <w:t xml:space="preserve">. Pengaturan ini kemudian diperkuat dalam Pasal 56 dan Pasal 58 Kompilasi Hukum Islam yang menegaskan bahwa izin pengadilan dan persetujuan istri merupakan syarat pokok dalam praktik poligami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{"citationID":"VUjntesh","properties":{"unsorted":false,"formattedCitation":"(Hakim &amp; Aibak, 2021)","plainCitation":"(Hakim &amp; Aibak, 2021)","noteIndex":0},"citationItems":[{"id":3413,"uris":["http://zotero.org/users/local/OLR5BNKJ/items/QH32PQFP"],"itemData":{"id":3413,"type":"article-journal","container-title":"Ahkam: Jurnal Hukum Islam","issue":"1","page":"105–128","source":"Google Scholar","title":"POLIGAMI DI DUNIA ISLAM: Studi Perbandingan Hukum Perkawinan Arab Saudi, Pakistan Dan Indonesia","title-short":"POLIGAMI DI DUNIA ISLAM","volume":"9","author":[{"family":"Hakim","given":"Abdurrahman"},{"family":"Aibak","given":"Kutbuddin"}],"issued":{"date-parts":[["2021"]]}}}],"schema":"https://github.com/citation-style-language/schema/raw/master/csl-citation.json"}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(Hakim &amp; Aibak, 2021)</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id-ID"/>
        </w:rPr>
        <w:t xml:space="preserve">. </w:t>
      </w:r>
    </w:p>
    <w:p w14:paraId="19C6AAE0"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r w:rsidRPr="002363B4">
        <w:rPr>
          <w:rFonts w:ascii="Footlight MT Light" w:eastAsia="Gentium Basic" w:hAnsi="Footlight MT Light" w:cs="Gentium Basic"/>
          <w:sz w:val="24"/>
          <w:szCs w:val="24"/>
          <w:lang w:val="id-ID"/>
        </w:rPr>
        <w:t xml:space="preserve">Secara normatif, ketentuan tersebut menunjukkan bahwa negara berupaya menghadirkan perlindungan hukum bagi istri pertama melalui mekanisme preventif. Artinya, sebelum poligami dilakukan, hukum sudah menempatkan filter agar tindakan suami tidak dilakukan secara sepihak dan sewenang-wenang. Persetujuan istri pertama dalam forum pengadilan harus dipahami bukan sebagai formalitas administratif, melainkan sebagai bentuk pengakuan terhadap hak dan martabat istri sebagai subjek hukum yang memiliki posisi setara dalam perkawinan. Dalam proses ini, istri pertama seharusnya memperoleh informasi yang utuh, kesempatan untuk menyatakan pendapat, serta ruang untuk menolak apabila poligami dipandang merugikan dirinya dan anak-anak. </w:t>
      </w:r>
      <w:proofErr w:type="spellStart"/>
      <w:r w:rsidRPr="002363B4">
        <w:rPr>
          <w:rFonts w:ascii="Footlight MT Light" w:eastAsia="Gentium Basic" w:hAnsi="Footlight MT Light" w:cs="Gentium Basic"/>
          <w:sz w:val="24"/>
          <w:szCs w:val="24"/>
          <w:lang w:val="en-US"/>
        </w:rPr>
        <w:t>Dengan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demikian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izin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berfungsi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sebagai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sarana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kontrol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substantif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sekadar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pengesahan</w:t>
      </w:r>
      <w:proofErr w:type="spellEnd"/>
      <w:r w:rsidRPr="002363B4">
        <w:rPr>
          <w:rFonts w:ascii="Footlight MT Light" w:eastAsia="Gentium Basic" w:hAnsi="Footlight MT Light" w:cs="Gentium Basic"/>
          <w:sz w:val="24"/>
          <w:szCs w:val="24"/>
          <w:lang w:val="en-US"/>
        </w:rPr>
        <w:t xml:space="preserve"> formal </w:t>
      </w:r>
      <w:proofErr w:type="spellStart"/>
      <w:r w:rsidRPr="002363B4">
        <w:rPr>
          <w:rFonts w:ascii="Footlight MT Light" w:eastAsia="Gentium Basic" w:hAnsi="Footlight MT Light" w:cs="Gentium Basic"/>
          <w:sz w:val="24"/>
          <w:szCs w:val="24"/>
          <w:lang w:val="en-US"/>
        </w:rPr>
        <w:t>terhadap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keinginan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suami</w:t>
      </w:r>
      <w:proofErr w:type="spellEnd"/>
      <w:r w:rsidR="00F57C62" w:rsidRPr="002363B4">
        <w:rPr>
          <w:rFonts w:ascii="Footlight MT Light" w:eastAsia="Gentium Basic" w:hAnsi="Footlight MT Light" w:cs="Gentium Basic"/>
          <w:sz w:val="24"/>
          <w:szCs w:val="24"/>
          <w:lang w:val="id-ID"/>
        </w:rPr>
        <w:t xml:space="preserve">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{"citationID":"xM85YMdJ","properties":{"unsorted":false,"formattedCitation":"(Hayah &amp; Anwar, 2026)","plainCitation":"(Hayah &amp; Anwar, 2026)","noteIndex":0},"citationItems":[{"id":3384,"uris":["http://zotero.org/users/local/OLR5BNKJ/items/AHTZG8I6"],"itemData":{"id":3384,"type":"article-journal","container-title":"Al-Zayn: Jurnal Ilmu Sosial &amp; Hukum","issue":"1","page":"3550–3561","source":"Google Scholar","title":"Kriminalisasi Praktik Poligami Tanpa Izin Pengadilan dalam Perspektif Hukum Perkawinan Indonesia","volume":"4","author":[{"family":"Hayah","given":"Siti Sapitri Nurhasanatul"},{"family":"Anwar","given":"Syahrul"}],"issued":{"date-parts":[["2026"]]}}}],"schema":"https://github.com/citation-style-language/schema/raw/master/csl-citation.json"}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(Hayah &amp; Anwar, 2026)</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en-US"/>
        </w:rPr>
        <w:t>.</w:t>
      </w:r>
    </w:p>
    <w:p w14:paraId="75961AA1"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r w:rsidRPr="002363B4">
        <w:rPr>
          <w:rFonts w:ascii="Footlight MT Light" w:eastAsia="Gentium Basic" w:hAnsi="Footlight MT Light" w:cs="Gentium Basic"/>
          <w:sz w:val="24"/>
          <w:szCs w:val="24"/>
          <w:lang w:val="en-US"/>
        </w:rPr>
        <w:lastRenderedPageBreak/>
        <w:t xml:space="preserve">Peran </w:t>
      </w:r>
      <w:proofErr w:type="spellStart"/>
      <w:r w:rsidRPr="002363B4">
        <w:rPr>
          <w:rFonts w:ascii="Footlight MT Light" w:eastAsia="Gentium Basic" w:hAnsi="Footlight MT Light" w:cs="Gentium Basic"/>
          <w:sz w:val="24"/>
          <w:szCs w:val="24"/>
          <w:lang w:val="en-US"/>
        </w:rPr>
        <w:t>Pengadilan</w:t>
      </w:r>
      <w:proofErr w:type="spellEnd"/>
      <w:r w:rsidRPr="002363B4">
        <w:rPr>
          <w:rFonts w:ascii="Footlight MT Light" w:eastAsia="Gentium Basic" w:hAnsi="Footlight MT Light" w:cs="Gentium Basic"/>
          <w:sz w:val="24"/>
          <w:szCs w:val="24"/>
          <w:lang w:val="en-US"/>
        </w:rPr>
        <w:t xml:space="preserve"> Agama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konteks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sangat </w:t>
      </w:r>
      <w:proofErr w:type="spellStart"/>
      <w:r w:rsidRPr="002363B4">
        <w:rPr>
          <w:rFonts w:ascii="Footlight MT Light" w:eastAsia="Gentium Basic" w:hAnsi="Footlight MT Light" w:cs="Gentium Basic"/>
          <w:sz w:val="24"/>
          <w:szCs w:val="24"/>
          <w:lang w:val="en-US"/>
        </w:rPr>
        <w:t>penting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karena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lembaga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peradilan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bertugas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memeriksa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kelengkapan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berkas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tetapi</w:t>
      </w:r>
      <w:proofErr w:type="spellEnd"/>
      <w:r w:rsidRPr="002363B4">
        <w:rPr>
          <w:rFonts w:ascii="Footlight MT Light" w:eastAsia="Gentium Basic" w:hAnsi="Footlight MT Light" w:cs="Gentium Basic"/>
          <w:sz w:val="24"/>
          <w:szCs w:val="24"/>
          <w:lang w:val="en-US"/>
        </w:rPr>
        <w:t xml:space="preserve"> juga </w:t>
      </w:r>
      <w:proofErr w:type="spellStart"/>
      <w:r w:rsidRPr="002363B4">
        <w:rPr>
          <w:rFonts w:ascii="Footlight MT Light" w:eastAsia="Gentium Basic" w:hAnsi="Footlight MT Light" w:cs="Gentium Basic"/>
          <w:sz w:val="24"/>
          <w:szCs w:val="24"/>
          <w:lang w:val="en-US"/>
        </w:rPr>
        <w:t>menilai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kebenaran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materiil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alasan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diajukan</w:t>
      </w:r>
      <w:proofErr w:type="spellEnd"/>
      <w:r w:rsidRPr="002363B4">
        <w:rPr>
          <w:rFonts w:ascii="Footlight MT Light" w:eastAsia="Gentium Basic" w:hAnsi="Footlight MT Light" w:cs="Gentium Basic"/>
          <w:sz w:val="24"/>
          <w:szCs w:val="24"/>
          <w:lang w:val="en-US"/>
        </w:rPr>
        <w:t xml:space="preserve">. Hakim </w:t>
      </w:r>
      <w:proofErr w:type="spellStart"/>
      <w:r w:rsidRPr="002363B4">
        <w:rPr>
          <w:rFonts w:ascii="Footlight MT Light" w:eastAsia="Gentium Basic" w:hAnsi="Footlight MT Light" w:cs="Gentium Basic"/>
          <w:sz w:val="24"/>
          <w:szCs w:val="24"/>
          <w:lang w:val="en-US"/>
        </w:rPr>
        <w:t>berkewajiban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menguji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apakah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alasan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disampaikan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benar-benar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memenuhi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ketentuan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undang-undang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apakah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kemampuan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ekonomi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mencukupi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serta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apakah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ada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jaminan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keadilan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bagi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seluruh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pihak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keluarga</w:t>
      </w:r>
      <w:proofErr w:type="spellEnd"/>
      <w:r w:rsidR="00F57C62" w:rsidRPr="002363B4">
        <w:rPr>
          <w:rFonts w:ascii="Footlight MT Light" w:eastAsia="Gentium Basic" w:hAnsi="Footlight MT Light" w:cs="Gentium Basic"/>
          <w:sz w:val="24"/>
          <w:szCs w:val="24"/>
          <w:lang w:val="id-ID"/>
        </w:rPr>
        <w:t xml:space="preserve">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{"citationID":"8nCDz5vB","properties":{"unsorted":false,"formattedCitation":"(Andriyanto &amp; Hidayah, 2025)","plainCitation":"(Andriyanto &amp; Hidayah, 2025)","noteIndex":0},"citationItems":[{"id":3385,"uris":["http://zotero.org/users/local/OLR5BNKJ/items/KAMVNESU"],"itemData":{"id":3385,"type":"article-journal","container-title":"Usrotuna: Journal of Islamic Family Law","issue":"1","page":"32–45","source":"Google Scholar","title":"Ketika Izin Pengadilan Diabaikan:  Studi Tentang Konflik Poligami Antara Praktik Sosial Dan Norma Hukum Keluarga Islam","title-short":"Ketika Izin Pengadilan Diabaikan","volume":"2","author":[{"family":"Andriyanto","given":"Muhamad"},{"family":"Hidayah","given":"Muhamad Fauzi Manarul"}],"issued":{"date-parts":[["2025"]]}}}],"schema":"https://github.com/citation-style-language/schema/raw/master/csl-citation.json"}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(Andriyanto &amp; Hidayah, 2025)</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perspektif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penilaian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tersebut</w:t>
      </w:r>
      <w:proofErr w:type="spellEnd"/>
      <w:r w:rsidRPr="002363B4">
        <w:rPr>
          <w:rFonts w:ascii="Footlight MT Light" w:eastAsia="Gentium Basic" w:hAnsi="Footlight MT Light" w:cs="Gentium Basic"/>
          <w:sz w:val="24"/>
          <w:szCs w:val="24"/>
          <w:lang w:val="en-US"/>
        </w:rPr>
        <w:t xml:space="preserve"> sangat </w:t>
      </w:r>
      <w:proofErr w:type="spellStart"/>
      <w:r w:rsidRPr="002363B4">
        <w:rPr>
          <w:rFonts w:ascii="Footlight MT Light" w:eastAsia="Gentium Basic" w:hAnsi="Footlight MT Light" w:cs="Gentium Basic"/>
          <w:sz w:val="24"/>
          <w:szCs w:val="24"/>
          <w:lang w:val="en-US"/>
        </w:rPr>
        <w:t>menentukan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karena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diizinkan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tanpa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pengujian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memadai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berpotensi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berubah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instrumen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merugikan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perempuan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khususnya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Oleh </w:t>
      </w:r>
      <w:proofErr w:type="spellStart"/>
      <w:r w:rsidRPr="002363B4">
        <w:rPr>
          <w:rFonts w:ascii="Footlight MT Light" w:eastAsia="Gentium Basic" w:hAnsi="Footlight MT Light" w:cs="Gentium Basic"/>
          <w:sz w:val="24"/>
          <w:szCs w:val="24"/>
          <w:lang w:val="en-US"/>
        </w:rPr>
        <w:t>sebab</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mekanisme</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perizinan</w:t>
      </w:r>
      <w:proofErr w:type="spellEnd"/>
      <w:r w:rsidRPr="002363B4">
        <w:rPr>
          <w:rFonts w:ascii="Footlight MT Light" w:eastAsia="Gentium Basic" w:hAnsi="Footlight MT Light" w:cs="Gentium Basic"/>
          <w:sz w:val="24"/>
          <w:szCs w:val="24"/>
          <w:lang w:val="en-US"/>
        </w:rPr>
        <w:t xml:space="preserve"> di </w:t>
      </w:r>
      <w:proofErr w:type="spellStart"/>
      <w:r w:rsidRPr="002363B4">
        <w:rPr>
          <w:rFonts w:ascii="Footlight MT Light" w:eastAsia="Gentium Basic" w:hAnsi="Footlight MT Light" w:cs="Gentium Basic"/>
          <w:sz w:val="24"/>
          <w:szCs w:val="24"/>
          <w:lang w:val="en-US"/>
        </w:rPr>
        <w:t>pengadilan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harus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dipahami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sebagai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bentuk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pengawasan</w:t>
      </w:r>
      <w:proofErr w:type="spellEnd"/>
      <w:r w:rsidRPr="002363B4">
        <w:rPr>
          <w:rFonts w:ascii="Footlight MT Light" w:eastAsia="Gentium Basic" w:hAnsi="Footlight MT Light" w:cs="Gentium Basic"/>
          <w:sz w:val="24"/>
          <w:szCs w:val="24"/>
          <w:lang w:val="en-US"/>
        </w:rPr>
        <w:t xml:space="preserve"> negara </w:t>
      </w:r>
      <w:proofErr w:type="spellStart"/>
      <w:r w:rsidRPr="002363B4">
        <w:rPr>
          <w:rFonts w:ascii="Footlight MT Light" w:eastAsia="Gentium Basic" w:hAnsi="Footlight MT Light" w:cs="Gentium Basic"/>
          <w:sz w:val="24"/>
          <w:szCs w:val="24"/>
          <w:lang w:val="en-US"/>
        </w:rPr>
        <w:t>terhadap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praktik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memiliki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risiko</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sosial</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tinggi</w:t>
      </w:r>
      <w:proofErr w:type="spellEnd"/>
      <w:r w:rsidRPr="002363B4">
        <w:rPr>
          <w:rFonts w:ascii="Footlight MT Light" w:eastAsia="Gentium Basic" w:hAnsi="Footlight MT Light" w:cs="Gentium Basic"/>
          <w:sz w:val="24"/>
          <w:szCs w:val="24"/>
          <w:lang w:val="en-US"/>
        </w:rPr>
        <w:t>.</w:t>
      </w:r>
    </w:p>
    <w:p w14:paraId="1A8888BA"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r w:rsidRPr="002363B4">
        <w:rPr>
          <w:rFonts w:ascii="Footlight MT Light" w:eastAsia="Gentium Basic" w:hAnsi="Footlight MT Light" w:cs="Gentium Basic"/>
          <w:sz w:val="24"/>
          <w:szCs w:val="24"/>
          <w:lang w:val="en-US"/>
        </w:rPr>
        <w:t xml:space="preserve">Akan </w:t>
      </w:r>
      <w:proofErr w:type="spellStart"/>
      <w:r w:rsidRPr="002363B4">
        <w:rPr>
          <w:rFonts w:ascii="Footlight MT Light" w:eastAsia="Gentium Basic" w:hAnsi="Footlight MT Light" w:cs="Gentium Basic"/>
          <w:sz w:val="24"/>
          <w:szCs w:val="24"/>
          <w:lang w:val="en-US"/>
        </w:rPr>
        <w:t>tetapi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praktiknya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masih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banyak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ditemukan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dilakukan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tanpa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izin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pengadilan</w:t>
      </w:r>
      <w:proofErr w:type="spellEnd"/>
      <w:r w:rsidRPr="002363B4">
        <w:rPr>
          <w:rFonts w:ascii="Footlight MT Light" w:eastAsia="Gentium Basic" w:hAnsi="Footlight MT Light" w:cs="Gentium Basic"/>
          <w:sz w:val="24"/>
          <w:szCs w:val="24"/>
          <w:lang w:val="en-US"/>
        </w:rPr>
        <w:t xml:space="preserve">. Salah </w:t>
      </w:r>
      <w:proofErr w:type="spellStart"/>
      <w:r w:rsidRPr="002363B4">
        <w:rPr>
          <w:rFonts w:ascii="Footlight MT Light" w:eastAsia="Gentium Basic" w:hAnsi="Footlight MT Light" w:cs="Gentium Basic"/>
          <w:sz w:val="24"/>
          <w:szCs w:val="24"/>
          <w:lang w:val="en-US"/>
        </w:rPr>
        <w:t>satu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bentuk</w:t>
      </w:r>
      <w:proofErr w:type="spellEnd"/>
      <w:r w:rsidRPr="002363B4">
        <w:rPr>
          <w:rFonts w:ascii="Footlight MT Light" w:eastAsia="Gentium Basic" w:hAnsi="Footlight MT Light" w:cs="Gentium Basic"/>
          <w:sz w:val="24"/>
          <w:szCs w:val="24"/>
          <w:lang w:val="en-US"/>
        </w:rPr>
        <w:t xml:space="preserve"> yang paling </w:t>
      </w:r>
      <w:proofErr w:type="spellStart"/>
      <w:r w:rsidRPr="002363B4">
        <w:rPr>
          <w:rFonts w:ascii="Footlight MT Light" w:eastAsia="Gentium Basic" w:hAnsi="Footlight MT Light" w:cs="Gentium Basic"/>
          <w:sz w:val="24"/>
          <w:szCs w:val="24"/>
          <w:lang w:val="en-US"/>
        </w:rPr>
        <w:t>menonjol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adalah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siri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yaitu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dilakukan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menurut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agama </w:t>
      </w:r>
      <w:proofErr w:type="spellStart"/>
      <w:r w:rsidRPr="002363B4">
        <w:rPr>
          <w:rFonts w:ascii="Footlight MT Light" w:eastAsia="Gentium Basic" w:hAnsi="Footlight MT Light" w:cs="Gentium Basic"/>
          <w:sz w:val="24"/>
          <w:szCs w:val="24"/>
          <w:lang w:val="en-US"/>
        </w:rPr>
        <w:t>tetapi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dicatatkan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sistem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administrasi</w:t>
      </w:r>
      <w:proofErr w:type="spellEnd"/>
      <w:r w:rsidRPr="002363B4">
        <w:rPr>
          <w:rFonts w:ascii="Footlight MT Light" w:eastAsia="Gentium Basic" w:hAnsi="Footlight MT Light" w:cs="Gentium Basic"/>
          <w:sz w:val="24"/>
          <w:szCs w:val="24"/>
          <w:lang w:val="en-US"/>
        </w:rPr>
        <w:t xml:space="preserve"> negara. </w:t>
      </w:r>
      <w:proofErr w:type="spellStart"/>
      <w:r w:rsidRPr="002363B4">
        <w:rPr>
          <w:rFonts w:ascii="Footlight MT Light" w:eastAsia="Gentium Basic" w:hAnsi="Footlight MT Light" w:cs="Gentium Basic"/>
          <w:sz w:val="24"/>
          <w:szCs w:val="24"/>
          <w:lang w:val="en-US"/>
        </w:rPr>
        <w:t>Praktik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bertentangan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dengan</w:t>
      </w:r>
      <w:proofErr w:type="spellEnd"/>
      <w:r w:rsidRPr="002363B4">
        <w:rPr>
          <w:rFonts w:ascii="Footlight MT Light" w:eastAsia="Gentium Basic" w:hAnsi="Footlight MT Light" w:cs="Gentium Basic"/>
          <w:sz w:val="24"/>
          <w:szCs w:val="24"/>
          <w:lang w:val="en-US"/>
        </w:rPr>
        <w:t xml:space="preserve"> Pasal 2 </w:t>
      </w:r>
      <w:proofErr w:type="spellStart"/>
      <w:r w:rsidRPr="002363B4">
        <w:rPr>
          <w:rFonts w:ascii="Footlight MT Light" w:eastAsia="Gentium Basic" w:hAnsi="Footlight MT Light" w:cs="Gentium Basic"/>
          <w:sz w:val="24"/>
          <w:szCs w:val="24"/>
          <w:lang w:val="en-US"/>
        </w:rPr>
        <w:t>ayat</w:t>
      </w:r>
      <w:proofErr w:type="spellEnd"/>
      <w:r w:rsidRPr="002363B4">
        <w:rPr>
          <w:rFonts w:ascii="Footlight MT Light" w:eastAsia="Gentium Basic" w:hAnsi="Footlight MT Light" w:cs="Gentium Basic"/>
          <w:sz w:val="24"/>
          <w:szCs w:val="24"/>
          <w:lang w:val="en-US"/>
        </w:rPr>
        <w:t xml:space="preserve"> (2) </w:t>
      </w:r>
      <w:proofErr w:type="spellStart"/>
      <w:r w:rsidRPr="002363B4">
        <w:rPr>
          <w:rFonts w:ascii="Footlight MT Light" w:eastAsia="Gentium Basic" w:hAnsi="Footlight MT Light" w:cs="Gentium Basic"/>
          <w:sz w:val="24"/>
          <w:szCs w:val="24"/>
          <w:lang w:val="en-US"/>
        </w:rPr>
        <w:t>Undang-Undang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mewajibkan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setiap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dicatatkan</w:t>
      </w:r>
      <w:proofErr w:type="spellEnd"/>
      <w:r w:rsidRPr="002363B4">
        <w:rPr>
          <w:rFonts w:ascii="Footlight MT Light" w:eastAsia="Gentium Basic" w:hAnsi="Footlight MT Light" w:cs="Gentium Basic"/>
          <w:sz w:val="24"/>
          <w:szCs w:val="24"/>
          <w:lang w:val="en-US"/>
        </w:rPr>
        <w:t xml:space="preserve"> agar </w:t>
      </w:r>
      <w:proofErr w:type="spellStart"/>
      <w:r w:rsidRPr="002363B4">
        <w:rPr>
          <w:rFonts w:ascii="Footlight MT Light" w:eastAsia="Gentium Basic" w:hAnsi="Footlight MT Light" w:cs="Gentium Basic"/>
          <w:sz w:val="24"/>
          <w:szCs w:val="24"/>
          <w:lang w:val="en-US"/>
        </w:rPr>
        <w:t>memperoleh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pengakuan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Karena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tercatat</w:t>
      </w:r>
      <w:proofErr w:type="spellEnd"/>
      <w:r w:rsidRPr="002363B4">
        <w:rPr>
          <w:rFonts w:ascii="Footlight MT Light" w:eastAsia="Gentium Basic" w:hAnsi="Footlight MT Light" w:cs="Gentium Basic"/>
          <w:sz w:val="24"/>
          <w:szCs w:val="24"/>
          <w:lang w:val="en-US"/>
        </w:rPr>
        <w:t xml:space="preserve">, negara </w:t>
      </w:r>
      <w:proofErr w:type="spellStart"/>
      <w:r w:rsidRPr="002363B4">
        <w:rPr>
          <w:rFonts w:ascii="Footlight MT Light" w:eastAsia="Gentium Basic" w:hAnsi="Footlight MT Light" w:cs="Gentium Basic"/>
          <w:sz w:val="24"/>
          <w:szCs w:val="24"/>
          <w:lang w:val="en-US"/>
        </w:rPr>
        <w:t>kehilangan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instrumen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pengawasan</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akibatnya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terhadap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sangat </w:t>
      </w:r>
      <w:proofErr w:type="spellStart"/>
      <w:r w:rsidRPr="002363B4">
        <w:rPr>
          <w:rFonts w:ascii="Footlight MT Light" w:eastAsia="Gentium Basic" w:hAnsi="Footlight MT Light" w:cs="Gentium Basic"/>
          <w:sz w:val="24"/>
          <w:szCs w:val="24"/>
          <w:lang w:val="en-US"/>
        </w:rPr>
        <w:t>lemah</w:t>
      </w:r>
      <w:proofErr w:type="spellEnd"/>
      <w:r w:rsidR="00F57C62" w:rsidRPr="002363B4">
        <w:rPr>
          <w:rFonts w:ascii="Footlight MT Light" w:eastAsia="Gentium Basic" w:hAnsi="Footlight MT Light" w:cs="Gentium Basic"/>
          <w:sz w:val="24"/>
          <w:szCs w:val="24"/>
          <w:lang w:val="id-ID"/>
        </w:rPr>
        <w:t xml:space="preserve">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{"citationID":"GaLeCC0Z","properties":{"unsorted":false,"formattedCitation":"(Iwan, 2023)","plainCitation":"(Iwan, 2023)","noteIndex":0},"citationItems":[{"id":3388,"uris":["http://zotero.org/users/local/OLR5BNKJ/items/UB3D7YN8"],"itemData":{"id":3388,"type":"article-journal","container-title":"At-Tazakki: Jurnal Kajian Ilmu Pendidikan Islam dan Humaniora","issue":"1","page":"50–65","source":"Google Scholar","title":"Izin Istri Dalam Poligami; Sebuah Upaya Perlindungan Hukum Terhadap Perempuan","volume":"7","author":[{"family":"Iwan","given":"Iwan"}],"issued":{"date-parts":[["2023"]]}}}],"schema":"https://github.com/citation-style-language/schema/raw/master/csl-citation.json"}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(Iwan, 2023)</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kondisi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seperti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maupun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kedua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sering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menghadapi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kesulitan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untuk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menuntut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hak-haknya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terutama</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berkaitan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dengan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nafkah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harta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bersama</w:t>
      </w:r>
      <w:proofErr w:type="spellEnd"/>
      <w:r w:rsidRPr="002363B4">
        <w:rPr>
          <w:rFonts w:ascii="Footlight MT Light" w:eastAsia="Gentium Basic" w:hAnsi="Footlight MT Light" w:cs="Gentium Basic"/>
          <w:sz w:val="24"/>
          <w:szCs w:val="24"/>
          <w:lang w:val="en-US"/>
        </w:rPr>
        <w:t xml:space="preserve">, dan status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anak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Ketidakhadiran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pencatatan</w:t>
      </w:r>
      <w:proofErr w:type="spellEnd"/>
      <w:r w:rsidRPr="002363B4">
        <w:rPr>
          <w:rFonts w:ascii="Footlight MT Light" w:eastAsia="Gentium Basic" w:hAnsi="Footlight MT Light" w:cs="Gentium Basic"/>
          <w:sz w:val="24"/>
          <w:szCs w:val="24"/>
          <w:lang w:val="en-US"/>
        </w:rPr>
        <w:t xml:space="preserve"> juga </w:t>
      </w:r>
      <w:proofErr w:type="spellStart"/>
      <w:r w:rsidRPr="002363B4">
        <w:rPr>
          <w:rFonts w:ascii="Footlight MT Light" w:eastAsia="Gentium Basic" w:hAnsi="Footlight MT Light" w:cs="Gentium Basic"/>
          <w:sz w:val="24"/>
          <w:szCs w:val="24"/>
          <w:lang w:val="en-US"/>
        </w:rPr>
        <w:t>membuat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pembuktian</w:t>
      </w:r>
      <w:proofErr w:type="spellEnd"/>
      <w:r w:rsidRPr="002363B4">
        <w:rPr>
          <w:rFonts w:ascii="Footlight MT Light" w:eastAsia="Gentium Basic" w:hAnsi="Footlight MT Light" w:cs="Gentium Basic"/>
          <w:sz w:val="24"/>
          <w:szCs w:val="24"/>
          <w:lang w:val="en-US"/>
        </w:rPr>
        <w:t xml:space="preserve"> di </w:t>
      </w:r>
      <w:proofErr w:type="spellStart"/>
      <w:r w:rsidRPr="002363B4">
        <w:rPr>
          <w:rFonts w:ascii="Footlight MT Light" w:eastAsia="Gentium Basic" w:hAnsi="Footlight MT Light" w:cs="Gentium Basic"/>
          <w:sz w:val="24"/>
          <w:szCs w:val="24"/>
          <w:lang w:val="en-US"/>
        </w:rPr>
        <w:t>hadapan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rumit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terutama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jika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menyangkal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keberadaan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kedua</w:t>
      </w:r>
      <w:proofErr w:type="spellEnd"/>
      <w:r w:rsidRPr="002363B4">
        <w:rPr>
          <w:rFonts w:ascii="Footlight MT Light" w:eastAsia="Gentium Basic" w:hAnsi="Footlight MT Light" w:cs="Gentium Basic"/>
          <w:sz w:val="24"/>
          <w:szCs w:val="24"/>
          <w:lang w:val="en-US"/>
        </w:rPr>
        <w:t>.</w:t>
      </w:r>
    </w:p>
    <w:p w14:paraId="02F21354"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r w:rsidRPr="002363B4">
        <w:rPr>
          <w:rFonts w:ascii="Footlight MT Light" w:eastAsia="Gentium Basic" w:hAnsi="Footlight MT Light" w:cs="Gentium Basic"/>
          <w:sz w:val="24"/>
          <w:szCs w:val="24"/>
          <w:lang w:val="en-US"/>
        </w:rPr>
        <w:t xml:space="preserve">Selain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siri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terdapat</w:t>
      </w:r>
      <w:proofErr w:type="spellEnd"/>
      <w:r w:rsidRPr="002363B4">
        <w:rPr>
          <w:rFonts w:ascii="Footlight MT Light" w:eastAsia="Gentium Basic" w:hAnsi="Footlight MT Light" w:cs="Gentium Basic"/>
          <w:sz w:val="24"/>
          <w:szCs w:val="24"/>
          <w:lang w:val="en-US"/>
        </w:rPr>
        <w:t xml:space="preserve"> pula </w:t>
      </w:r>
      <w:proofErr w:type="spellStart"/>
      <w:r w:rsidRPr="002363B4">
        <w:rPr>
          <w:rFonts w:ascii="Footlight MT Light" w:eastAsia="Gentium Basic" w:hAnsi="Footlight MT Light" w:cs="Gentium Basic"/>
          <w:sz w:val="24"/>
          <w:szCs w:val="24"/>
          <w:lang w:val="en-US"/>
        </w:rPr>
        <w:t>praktik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dilakukan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dengan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cara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memanipulasi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prosedur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perizinan</w:t>
      </w:r>
      <w:proofErr w:type="spellEnd"/>
      <w:r w:rsidRPr="002363B4">
        <w:rPr>
          <w:rFonts w:ascii="Footlight MT Light" w:eastAsia="Gentium Basic" w:hAnsi="Footlight MT Light" w:cs="Gentium Basic"/>
          <w:sz w:val="24"/>
          <w:szCs w:val="24"/>
          <w:lang w:val="en-US"/>
        </w:rPr>
        <w:t xml:space="preserve"> di </w:t>
      </w:r>
      <w:proofErr w:type="spellStart"/>
      <w:r w:rsidRPr="002363B4">
        <w:rPr>
          <w:rFonts w:ascii="Footlight MT Light" w:eastAsia="Gentium Basic" w:hAnsi="Footlight MT Light" w:cs="Gentium Basic"/>
          <w:sz w:val="24"/>
          <w:szCs w:val="24"/>
          <w:lang w:val="en-US"/>
        </w:rPr>
        <w:t>Pengadilan</w:t>
      </w:r>
      <w:proofErr w:type="spellEnd"/>
      <w:r w:rsidRPr="002363B4">
        <w:rPr>
          <w:rFonts w:ascii="Footlight MT Light" w:eastAsia="Gentium Basic" w:hAnsi="Footlight MT Light" w:cs="Gentium Basic"/>
          <w:sz w:val="24"/>
          <w:szCs w:val="24"/>
          <w:lang w:val="en-US"/>
        </w:rPr>
        <w:t xml:space="preserve"> Agama. </w:t>
      </w:r>
      <w:proofErr w:type="spellStart"/>
      <w:r w:rsidRPr="002363B4">
        <w:rPr>
          <w:rFonts w:ascii="Footlight MT Light" w:eastAsia="Gentium Basic" w:hAnsi="Footlight MT Light" w:cs="Gentium Basic"/>
          <w:sz w:val="24"/>
          <w:szCs w:val="24"/>
          <w:lang w:val="en-US"/>
        </w:rPr>
        <w:t>Manipulasi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tersebut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dapat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berupa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pemalsuan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persetujuan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pemberian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keterangan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palsu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mengenai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kondisi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rumah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tangga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atau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rekayasa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alasan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agar </w:t>
      </w:r>
      <w:proofErr w:type="spellStart"/>
      <w:r w:rsidRPr="002363B4">
        <w:rPr>
          <w:rFonts w:ascii="Footlight MT Light" w:eastAsia="Gentium Basic" w:hAnsi="Footlight MT Light" w:cs="Gentium Basic"/>
          <w:sz w:val="24"/>
          <w:szCs w:val="24"/>
          <w:lang w:val="en-US"/>
        </w:rPr>
        <w:t>tampak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memenuhi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syarat</w:t>
      </w:r>
      <w:proofErr w:type="spellEnd"/>
      <w:r w:rsidRPr="002363B4">
        <w:rPr>
          <w:rFonts w:ascii="Footlight MT Light" w:eastAsia="Gentium Basic" w:hAnsi="Footlight MT Light" w:cs="Gentium Basic"/>
          <w:sz w:val="24"/>
          <w:szCs w:val="24"/>
          <w:lang w:val="en-US"/>
        </w:rPr>
        <w:t xml:space="preserve"> formal. </w:t>
      </w:r>
      <w:proofErr w:type="spellStart"/>
      <w:r w:rsidRPr="002363B4">
        <w:rPr>
          <w:rFonts w:ascii="Footlight MT Light" w:eastAsia="Gentium Basic" w:hAnsi="Footlight MT Light" w:cs="Gentium Basic"/>
          <w:sz w:val="24"/>
          <w:szCs w:val="24"/>
          <w:lang w:val="en-US"/>
        </w:rPr>
        <w:t>Kondisi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menunjukkan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bahwa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kelemahan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terdapat</w:t>
      </w:r>
      <w:proofErr w:type="spellEnd"/>
      <w:r w:rsidRPr="002363B4">
        <w:rPr>
          <w:rFonts w:ascii="Footlight MT Light" w:eastAsia="Gentium Basic" w:hAnsi="Footlight MT Light" w:cs="Gentium Basic"/>
          <w:sz w:val="24"/>
          <w:szCs w:val="24"/>
          <w:lang w:val="en-US"/>
        </w:rPr>
        <w:t xml:space="preserve"> pada norma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tetapi</w:t>
      </w:r>
      <w:proofErr w:type="spellEnd"/>
      <w:r w:rsidRPr="002363B4">
        <w:rPr>
          <w:rFonts w:ascii="Footlight MT Light" w:eastAsia="Gentium Basic" w:hAnsi="Footlight MT Light" w:cs="Gentium Basic"/>
          <w:sz w:val="24"/>
          <w:szCs w:val="24"/>
          <w:lang w:val="en-US"/>
        </w:rPr>
        <w:t xml:space="preserve"> juga pada </w:t>
      </w:r>
      <w:proofErr w:type="spellStart"/>
      <w:r w:rsidRPr="002363B4">
        <w:rPr>
          <w:rFonts w:ascii="Footlight MT Light" w:eastAsia="Gentium Basic" w:hAnsi="Footlight MT Light" w:cs="Gentium Basic"/>
          <w:sz w:val="24"/>
          <w:szCs w:val="24"/>
          <w:lang w:val="en-US"/>
        </w:rPr>
        <w:t>mekanisme</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verifikasi</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pengawasan</w:t>
      </w:r>
      <w:proofErr w:type="spellEnd"/>
      <w:r w:rsidRPr="002363B4">
        <w:rPr>
          <w:rFonts w:ascii="Footlight MT Light" w:eastAsia="Gentium Basic" w:hAnsi="Footlight MT Light" w:cs="Gentium Basic"/>
          <w:sz w:val="24"/>
          <w:szCs w:val="24"/>
          <w:lang w:val="en-US"/>
        </w:rPr>
        <w:t xml:space="preserve">. Jika </w:t>
      </w:r>
      <w:proofErr w:type="spellStart"/>
      <w:r w:rsidRPr="002363B4">
        <w:rPr>
          <w:rFonts w:ascii="Footlight MT Light" w:eastAsia="Gentium Basic" w:hAnsi="Footlight MT Light" w:cs="Gentium Basic"/>
          <w:sz w:val="24"/>
          <w:szCs w:val="24"/>
          <w:lang w:val="en-US"/>
        </w:rPr>
        <w:t>aparat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peradilan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cermat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memeriksa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keabsahan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persetujuan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kebenaran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alasan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permohonan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maka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fungsi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berubah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sekadar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legitimasi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administratif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atas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tindakan</w:t>
      </w:r>
      <w:proofErr w:type="spellEnd"/>
      <w:r w:rsidRPr="002363B4">
        <w:rPr>
          <w:rFonts w:ascii="Footlight MT Light" w:eastAsia="Gentium Basic" w:hAnsi="Footlight MT Light" w:cs="Gentium Basic"/>
          <w:sz w:val="24"/>
          <w:szCs w:val="24"/>
          <w:lang w:val="en-US"/>
        </w:rPr>
        <w:t xml:space="preserve"> yang pada </w:t>
      </w:r>
      <w:proofErr w:type="spellStart"/>
      <w:r w:rsidRPr="002363B4">
        <w:rPr>
          <w:rFonts w:ascii="Footlight MT Light" w:eastAsia="Gentium Basic" w:hAnsi="Footlight MT Light" w:cs="Gentium Basic"/>
          <w:sz w:val="24"/>
          <w:szCs w:val="24"/>
          <w:lang w:val="en-US"/>
        </w:rPr>
        <w:t>dasarnya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dapat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merugikan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Di </w:t>
      </w:r>
      <w:proofErr w:type="spellStart"/>
      <w:r w:rsidRPr="002363B4">
        <w:rPr>
          <w:rFonts w:ascii="Footlight MT Light" w:eastAsia="Gentium Basic" w:hAnsi="Footlight MT Light" w:cs="Gentium Basic"/>
          <w:sz w:val="24"/>
          <w:szCs w:val="24"/>
          <w:lang w:val="en-US"/>
        </w:rPr>
        <w:t>titik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sensitivitas</w:t>
      </w:r>
      <w:proofErr w:type="spellEnd"/>
      <w:r w:rsidRPr="002363B4">
        <w:rPr>
          <w:rFonts w:ascii="Footlight MT Light" w:eastAsia="Gentium Basic" w:hAnsi="Footlight MT Light" w:cs="Gentium Basic"/>
          <w:sz w:val="24"/>
          <w:szCs w:val="24"/>
          <w:lang w:val="en-US"/>
        </w:rPr>
        <w:t xml:space="preserve"> gender </w:t>
      </w:r>
      <w:proofErr w:type="spellStart"/>
      <w:r w:rsidRPr="002363B4">
        <w:rPr>
          <w:rFonts w:ascii="Footlight MT Light" w:eastAsia="Gentium Basic" w:hAnsi="Footlight MT Light" w:cs="Gentium Basic"/>
          <w:sz w:val="24"/>
          <w:szCs w:val="24"/>
          <w:lang w:val="en-US"/>
        </w:rPr>
        <w:t>aparat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peradilan</w:t>
      </w:r>
      <w:proofErr w:type="spellEnd"/>
      <w:r w:rsidRPr="002363B4">
        <w:rPr>
          <w:rFonts w:ascii="Footlight MT Light" w:eastAsia="Gentium Basic" w:hAnsi="Footlight MT Light" w:cs="Gentium Basic"/>
          <w:sz w:val="24"/>
          <w:szCs w:val="24"/>
          <w:lang w:val="en-US"/>
        </w:rPr>
        <w:t xml:space="preserve"> juga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penting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karena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ketimpangan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kuasa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rumah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tangga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sering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membuat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bebas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menyatakan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keberatan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secara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jujur</w:t>
      </w:r>
      <w:proofErr w:type="spellEnd"/>
      <w:r w:rsidRPr="002363B4">
        <w:rPr>
          <w:rFonts w:ascii="Footlight MT Light" w:eastAsia="Gentium Basic" w:hAnsi="Footlight MT Light" w:cs="Gentium Basic"/>
          <w:sz w:val="24"/>
          <w:szCs w:val="24"/>
          <w:lang w:val="en-US"/>
        </w:rPr>
        <w:t>.</w:t>
      </w:r>
    </w:p>
    <w:p w14:paraId="1BDC2322"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r w:rsidRPr="002363B4">
        <w:rPr>
          <w:rFonts w:ascii="Footlight MT Light" w:eastAsia="Gentium Basic" w:hAnsi="Footlight MT Light" w:cs="Gentium Basic"/>
          <w:sz w:val="24"/>
          <w:szCs w:val="24"/>
          <w:lang w:val="en-US"/>
        </w:rPr>
        <w:t xml:space="preserve">Dari </w:t>
      </w:r>
      <w:proofErr w:type="spellStart"/>
      <w:r w:rsidRPr="002363B4">
        <w:rPr>
          <w:rFonts w:ascii="Footlight MT Light" w:eastAsia="Gentium Basic" w:hAnsi="Footlight MT Light" w:cs="Gentium Basic"/>
          <w:sz w:val="24"/>
          <w:szCs w:val="24"/>
          <w:lang w:val="en-US"/>
        </w:rPr>
        <w:t>perspektif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tanpa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izin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pengadilan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menimbulkan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dampak</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luas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bagi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Dampak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berupa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hilangnya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kepastian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atas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nafkah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tetapi</w:t>
      </w:r>
      <w:proofErr w:type="spellEnd"/>
      <w:r w:rsidRPr="002363B4">
        <w:rPr>
          <w:rFonts w:ascii="Footlight MT Light" w:eastAsia="Gentium Basic" w:hAnsi="Footlight MT Light" w:cs="Gentium Basic"/>
          <w:sz w:val="24"/>
          <w:szCs w:val="24"/>
          <w:lang w:val="en-US"/>
        </w:rPr>
        <w:t xml:space="preserve"> juga </w:t>
      </w:r>
      <w:proofErr w:type="spellStart"/>
      <w:r w:rsidRPr="002363B4">
        <w:rPr>
          <w:rFonts w:ascii="Footlight MT Light" w:eastAsia="Gentium Basic" w:hAnsi="Footlight MT Light" w:cs="Gentium Basic"/>
          <w:sz w:val="24"/>
          <w:szCs w:val="24"/>
          <w:lang w:val="en-US"/>
        </w:rPr>
        <w:t>menurunnya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kesejahteraan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ekonomi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ketidakjelasan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kedudukan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struktur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keluarga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serta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tekanan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psikologis</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sosial</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berat</w:t>
      </w:r>
      <w:proofErr w:type="spellEnd"/>
      <w:r w:rsidR="00832AAD" w:rsidRPr="002363B4">
        <w:rPr>
          <w:rFonts w:ascii="Footlight MT Light" w:eastAsia="Gentium Basic" w:hAnsi="Footlight MT Light" w:cs="Gentium Basic"/>
          <w:sz w:val="24"/>
          <w:szCs w:val="24"/>
          <w:lang w:val="id-ID"/>
        </w:rPr>
        <w:t xml:space="preserve"> </w:t>
      </w:r>
      <w:r w:rsidR="00832AAD" w:rsidRPr="002363B4">
        <w:rPr>
          <w:rFonts w:ascii="Footlight MT Light" w:eastAsia="Gentium Basic" w:hAnsi="Footlight MT Light" w:cs="Gentium Basic"/>
          <w:sz w:val="24"/>
          <w:szCs w:val="24"/>
          <w:lang w:val="id-ID"/>
        </w:rPr>
        <w:fldChar w:fldCharType="begin"/>
      </w:r>
      <w:r w:rsidR="00832AAD" w:rsidRPr="002363B4">
        <w:rPr>
          <w:rFonts w:ascii="Footlight MT Light" w:eastAsia="Gentium Basic" w:hAnsi="Footlight MT Light" w:cs="Gentium Basic"/>
          <w:sz w:val="24"/>
          <w:szCs w:val="24"/>
          <w:lang w:val="id-ID"/>
        </w:rPr>
        <w:instrText xml:space="preserve"> ADDIN ZOTERO_ITEM CSL_CITATION {"citationID":"aopvKj6S","properties":{"unsorted":false,"formattedCitation":"(Nuur\\uc0\\u8217{}ainii dkk., 2026)","plainCitation":"(Nuur’ainii dkk., 2026)","noteIndex":0},"citationItems":[{"id":3389,"uris":["http://zotero.org/users/local/OLR5BNKJ/items/649XIFDM"],"itemData":{"id":3389,"type":"article-journal","container-title":"Policies On Regulatory Reform Law Journal","issue":"1","page":"49–57","source":"Google Scholar","title":"Analisis Pertimbangan Hukum Hakim dalam Perkara Izin Poligami (Studi Putusan Pengadilan Agama Makassar Nomor 2107/Pdt. G/2025/PA. Mks)","volume":"2","author":[{"family":"Nuur’ainii","given":"Nasywaa Yunita Kusuma"},{"family":"Lengkong","given":"Ivany"},{"family":"Lenatia","given":"Lenatia"},{"family":"Alvarindo","given":"Arif"}],"issued":{"date-parts":[["2026"]]}}}],"schema":"https://github.com/citation-style-language/schema/raw/master/csl-citation.json"} </w:instrText>
      </w:r>
      <w:r w:rsidR="00832AAD" w:rsidRPr="002363B4">
        <w:rPr>
          <w:rFonts w:ascii="Footlight MT Light" w:eastAsia="Gentium Basic" w:hAnsi="Footlight MT Light" w:cs="Gentium Basic"/>
          <w:sz w:val="24"/>
          <w:szCs w:val="24"/>
          <w:lang w:val="id-ID"/>
        </w:rPr>
        <w:fldChar w:fldCharType="separate"/>
      </w:r>
      <w:r w:rsidR="00832AAD" w:rsidRPr="002363B4">
        <w:rPr>
          <w:rFonts w:ascii="Footlight MT Light" w:hAnsi="Footlight MT Light"/>
          <w:sz w:val="24"/>
          <w:szCs w:val="24"/>
        </w:rPr>
        <w:t>(Nuur’ainii dkk., 2026)</w:t>
      </w:r>
      <w:r w:rsidR="00832AAD"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banyak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kasus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mengalami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kebingungan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karena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kedua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tercatat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sementara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berupaya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menyembunyikan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fakta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Ketika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hendak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menempuh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upaya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kerap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menghadapi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hambatan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pembuktian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serius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Gugatan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perceraian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permohonan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pembatalan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kedua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ataupun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tuntutan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nafkah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mudah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dilakukan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jika</w:t>
      </w:r>
      <w:proofErr w:type="spellEnd"/>
      <w:r w:rsidRPr="002363B4">
        <w:rPr>
          <w:rFonts w:ascii="Footlight MT Light" w:eastAsia="Gentium Basic" w:hAnsi="Footlight MT Light" w:cs="Gentium Basic"/>
          <w:sz w:val="24"/>
          <w:szCs w:val="24"/>
          <w:lang w:val="en-US"/>
        </w:rPr>
        <w:t xml:space="preserve"> data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jelas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atau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menyangkal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adanya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hubungan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sah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secara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negara.</w:t>
      </w:r>
    </w:p>
    <w:p w14:paraId="673C89DF"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proofErr w:type="spellStart"/>
      <w:r w:rsidRPr="002363B4">
        <w:rPr>
          <w:rFonts w:ascii="Footlight MT Light" w:eastAsia="Gentium Basic" w:hAnsi="Footlight MT Light" w:cs="Gentium Basic"/>
          <w:sz w:val="24"/>
          <w:szCs w:val="24"/>
          <w:lang w:val="en-US"/>
        </w:rPr>
        <w:t>Secara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yuridis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tanpa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izin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pengadilan</w:t>
      </w:r>
      <w:proofErr w:type="spellEnd"/>
      <w:r w:rsidRPr="002363B4">
        <w:rPr>
          <w:rFonts w:ascii="Footlight MT Light" w:eastAsia="Gentium Basic" w:hAnsi="Footlight MT Light" w:cs="Gentium Basic"/>
          <w:sz w:val="24"/>
          <w:szCs w:val="24"/>
          <w:lang w:val="en-US"/>
        </w:rPr>
        <w:t xml:space="preserve"> juga </w:t>
      </w:r>
      <w:proofErr w:type="spellStart"/>
      <w:r w:rsidRPr="002363B4">
        <w:rPr>
          <w:rFonts w:ascii="Footlight MT Light" w:eastAsia="Gentium Basic" w:hAnsi="Footlight MT Light" w:cs="Gentium Basic"/>
          <w:sz w:val="24"/>
          <w:szCs w:val="24"/>
          <w:lang w:val="en-US"/>
        </w:rPr>
        <w:t>dapat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menimbulkan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akibat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berupa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pembatalan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sesuai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dengan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ketentuan</w:t>
      </w:r>
      <w:proofErr w:type="spellEnd"/>
      <w:r w:rsidRPr="002363B4">
        <w:rPr>
          <w:rFonts w:ascii="Footlight MT Light" w:eastAsia="Gentium Basic" w:hAnsi="Footlight MT Light" w:cs="Gentium Basic"/>
          <w:sz w:val="24"/>
          <w:szCs w:val="24"/>
          <w:lang w:val="en-US"/>
        </w:rPr>
        <w:t xml:space="preserve"> KHI yang </w:t>
      </w:r>
      <w:proofErr w:type="spellStart"/>
      <w:r w:rsidRPr="002363B4">
        <w:rPr>
          <w:rFonts w:ascii="Footlight MT Light" w:eastAsia="Gentium Basic" w:hAnsi="Footlight MT Light" w:cs="Gentium Basic"/>
          <w:sz w:val="24"/>
          <w:szCs w:val="24"/>
          <w:lang w:val="en-US"/>
        </w:rPr>
        <w:t>mengatur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syarat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sahnya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Selain </w:t>
      </w:r>
      <w:proofErr w:type="spellStart"/>
      <w:r w:rsidRPr="002363B4">
        <w:rPr>
          <w:rFonts w:ascii="Footlight MT Light" w:eastAsia="Gentium Basic" w:hAnsi="Footlight MT Light" w:cs="Gentium Basic"/>
          <w:sz w:val="24"/>
          <w:szCs w:val="24"/>
          <w:lang w:val="en-US"/>
        </w:rPr>
        <w:t>itu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praktik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tersebut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berpotensi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dijerat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dengan</w:t>
      </w:r>
      <w:proofErr w:type="spellEnd"/>
      <w:r w:rsidRPr="002363B4">
        <w:rPr>
          <w:rFonts w:ascii="Footlight MT Light" w:eastAsia="Gentium Basic" w:hAnsi="Footlight MT Light" w:cs="Gentium Basic"/>
          <w:sz w:val="24"/>
          <w:szCs w:val="24"/>
          <w:lang w:val="en-US"/>
        </w:rPr>
        <w:t xml:space="preserve"> Pasal 279 KUHP yang </w:t>
      </w:r>
      <w:proofErr w:type="spellStart"/>
      <w:r w:rsidRPr="002363B4">
        <w:rPr>
          <w:rFonts w:ascii="Footlight MT Light" w:eastAsia="Gentium Basic" w:hAnsi="Footlight MT Light" w:cs="Gentium Basic"/>
          <w:sz w:val="24"/>
          <w:szCs w:val="24"/>
          <w:lang w:val="en-US"/>
        </w:rPr>
        <w:t>mengatur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kejahatan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terhadap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terutama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jika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seseorang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melakukan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baru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padahal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masih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terikat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sah</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tindakan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tersebut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menimbulkan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kerugian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bagi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sah</w:t>
      </w:r>
      <w:proofErr w:type="spellEnd"/>
      <w:r w:rsidR="00F57C62" w:rsidRPr="002363B4">
        <w:rPr>
          <w:rFonts w:ascii="Footlight MT Light" w:eastAsia="Gentium Basic" w:hAnsi="Footlight MT Light" w:cs="Gentium Basic"/>
          <w:sz w:val="24"/>
          <w:szCs w:val="24"/>
          <w:lang w:val="id-ID"/>
        </w:rPr>
        <w:t xml:space="preserve"> </w:t>
      </w:r>
      <w:r w:rsidR="00F57C62" w:rsidRPr="002363B4">
        <w:rPr>
          <w:rFonts w:ascii="Footlight MT Light" w:eastAsia="Gentium Basic" w:hAnsi="Footlight MT Light" w:cs="Gentium Basic"/>
          <w:sz w:val="24"/>
          <w:szCs w:val="24"/>
          <w:lang w:val="id-ID"/>
        </w:rPr>
        <w:fldChar w:fldCharType="begin"/>
      </w:r>
      <w:r w:rsidR="00F57C62" w:rsidRPr="002363B4">
        <w:rPr>
          <w:rFonts w:ascii="Footlight MT Light" w:eastAsia="Gentium Basic" w:hAnsi="Footlight MT Light" w:cs="Gentium Basic"/>
          <w:sz w:val="24"/>
          <w:szCs w:val="24"/>
          <w:lang w:val="id-ID"/>
        </w:rPr>
        <w:instrText xml:space="preserve"> ADDIN ZOTERO_ITEM CSL_CITATION {"citationID":"dLhWaXwk","properties":{"unsorted":false,"formattedCitation":"(Mansari dkk., 2023)","plainCitation":"(Mansari dkk., 2023)","noteIndex":0},"citationItems":[{"id":3398,"uris":["http://zotero.org/users/local/OLR5BNKJ/items/S38D8C98"],"itemData":{"id":3398,"type":"article-journal","container-title":"Jurnal Yudisial","issue":"3","page":"361–379","source":"Google Scholar","title":"Pengesampingan Syarat Alternatif Poligami Sebagai Dasar Mengabulkan Permohonan","volume":"16","author":[{"family":"Mansari","given":"Mansari"},{"family":"Fatahillah","given":"Zahrul"},{"family":"Sahara","given":"Siti"}],"issued":{"date-parts":[["2023"]]}}}],"schema":"https://github.com/citation-style-language/schema/raw/master/csl-citation.json"} </w:instrText>
      </w:r>
      <w:r w:rsidR="00F57C62" w:rsidRPr="002363B4">
        <w:rPr>
          <w:rFonts w:ascii="Footlight MT Light" w:eastAsia="Gentium Basic" w:hAnsi="Footlight MT Light" w:cs="Gentium Basic"/>
          <w:sz w:val="24"/>
          <w:szCs w:val="24"/>
          <w:lang w:val="id-ID"/>
        </w:rPr>
        <w:fldChar w:fldCharType="separate"/>
      </w:r>
      <w:r w:rsidR="00F57C62" w:rsidRPr="002363B4">
        <w:rPr>
          <w:rFonts w:ascii="Footlight MT Light" w:eastAsia="Gentium Basic" w:hAnsi="Footlight MT Light"/>
          <w:sz w:val="24"/>
          <w:szCs w:val="24"/>
        </w:rPr>
        <w:t>(Mansari dkk., 2023)</w:t>
      </w:r>
      <w:r w:rsidR="00F57C62"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perkembangan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pidana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nasional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Undang-Undang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Nomor</w:t>
      </w:r>
      <w:proofErr w:type="spellEnd"/>
      <w:r w:rsidRPr="002363B4">
        <w:rPr>
          <w:rFonts w:ascii="Footlight MT Light" w:eastAsia="Gentium Basic" w:hAnsi="Footlight MT Light" w:cs="Gentium Basic"/>
          <w:sz w:val="24"/>
          <w:szCs w:val="24"/>
          <w:lang w:val="en-US"/>
        </w:rPr>
        <w:t xml:space="preserve"> 1 </w:t>
      </w:r>
      <w:proofErr w:type="spellStart"/>
      <w:r w:rsidRPr="002363B4">
        <w:rPr>
          <w:rFonts w:ascii="Footlight MT Light" w:eastAsia="Gentium Basic" w:hAnsi="Footlight MT Light" w:cs="Gentium Basic"/>
          <w:sz w:val="24"/>
          <w:szCs w:val="24"/>
          <w:lang w:val="en-US"/>
        </w:rPr>
        <w:lastRenderedPageBreak/>
        <w:t>Tahun</w:t>
      </w:r>
      <w:proofErr w:type="spellEnd"/>
      <w:r w:rsidRPr="002363B4">
        <w:rPr>
          <w:rFonts w:ascii="Footlight MT Light" w:eastAsia="Gentium Basic" w:hAnsi="Footlight MT Light" w:cs="Gentium Basic"/>
          <w:sz w:val="24"/>
          <w:szCs w:val="24"/>
          <w:lang w:val="en-US"/>
        </w:rPr>
        <w:t xml:space="preserve"> 2023 </w:t>
      </w:r>
      <w:proofErr w:type="spellStart"/>
      <w:r w:rsidRPr="002363B4">
        <w:rPr>
          <w:rFonts w:ascii="Footlight MT Light" w:eastAsia="Gentium Basic" w:hAnsi="Footlight MT Light" w:cs="Gentium Basic"/>
          <w:sz w:val="24"/>
          <w:szCs w:val="24"/>
          <w:lang w:val="en-US"/>
        </w:rPr>
        <w:t>mempertegas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arah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kebijakan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sanksi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terhadap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tindakan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melanggar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ketentuan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termasuk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praktik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dilakukan</w:t>
      </w:r>
      <w:proofErr w:type="spellEnd"/>
      <w:r w:rsidRPr="002363B4">
        <w:rPr>
          <w:rFonts w:ascii="Footlight MT Light" w:eastAsia="Gentium Basic" w:hAnsi="Footlight MT Light" w:cs="Gentium Basic"/>
          <w:sz w:val="24"/>
          <w:szCs w:val="24"/>
          <w:lang w:val="en-US"/>
        </w:rPr>
        <w:t xml:space="preserve"> di </w:t>
      </w:r>
      <w:proofErr w:type="spellStart"/>
      <w:r w:rsidRPr="002363B4">
        <w:rPr>
          <w:rFonts w:ascii="Footlight MT Light" w:eastAsia="Gentium Basic" w:hAnsi="Footlight MT Light" w:cs="Gentium Basic"/>
          <w:sz w:val="24"/>
          <w:szCs w:val="24"/>
          <w:lang w:val="en-US"/>
        </w:rPr>
        <w:t>luar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prosedur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Ini </w:t>
      </w:r>
      <w:proofErr w:type="spellStart"/>
      <w:r w:rsidRPr="002363B4">
        <w:rPr>
          <w:rFonts w:ascii="Footlight MT Light" w:eastAsia="Gentium Basic" w:hAnsi="Footlight MT Light" w:cs="Gentium Basic"/>
          <w:sz w:val="24"/>
          <w:szCs w:val="24"/>
          <w:lang w:val="en-US"/>
        </w:rPr>
        <w:t>menunjukkan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bahwa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menyediakan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preventif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tetapi</w:t>
      </w:r>
      <w:proofErr w:type="spellEnd"/>
      <w:r w:rsidRPr="002363B4">
        <w:rPr>
          <w:rFonts w:ascii="Footlight MT Light" w:eastAsia="Gentium Basic" w:hAnsi="Footlight MT Light" w:cs="Gentium Basic"/>
          <w:sz w:val="24"/>
          <w:szCs w:val="24"/>
          <w:lang w:val="en-US"/>
        </w:rPr>
        <w:t xml:space="preserve"> juga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represif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untuk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menindak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pelanggaran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sudah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terjadi</w:t>
      </w:r>
      <w:proofErr w:type="spellEnd"/>
      <w:r w:rsidR="0008245E" w:rsidRPr="002363B4">
        <w:rPr>
          <w:rFonts w:ascii="Footlight MT Light" w:eastAsia="Gentium Basic" w:hAnsi="Footlight MT Light" w:cs="Gentium Basic"/>
          <w:sz w:val="24"/>
          <w:szCs w:val="24"/>
          <w:lang w:val="id-ID"/>
        </w:rPr>
        <w:t xml:space="preserve"> </w:t>
      </w:r>
      <w:r w:rsidR="0008245E" w:rsidRPr="002363B4">
        <w:rPr>
          <w:rFonts w:ascii="Footlight MT Light" w:eastAsia="Gentium Basic" w:hAnsi="Footlight MT Light" w:cs="Gentium Basic"/>
          <w:sz w:val="24"/>
          <w:szCs w:val="24"/>
          <w:lang w:val="id-ID"/>
        </w:rPr>
        <w:fldChar w:fldCharType="begin"/>
      </w:r>
      <w:r w:rsidR="0008245E" w:rsidRPr="002363B4">
        <w:rPr>
          <w:rFonts w:ascii="Footlight MT Light" w:eastAsia="Gentium Basic" w:hAnsi="Footlight MT Light" w:cs="Gentium Basic"/>
          <w:sz w:val="24"/>
          <w:szCs w:val="24"/>
          <w:lang w:val="id-ID"/>
        </w:rPr>
        <w:instrText xml:space="preserve"> ADDIN ZOTERO_ITEM CSL_CITATION {"citationID":"ssFJAoyZ","properties":{"unsorted":false,"formattedCitation":"(Muthalib, 2022)","plainCitation":"(Muthalib, 2022)","noteIndex":0},"citationItems":[{"id":3403,"uris":["http://zotero.org/users/local/OLR5BNKJ/items/NU2A7MLT"],"itemData":{"id":3403,"type":"article-journal","container-title":"El-Usrah: Jurnal Hukum Keluarga","issue":"2","page":"224–238","source":"Google Scholar","title":"Pengesahan Isbat Nikah Perkawinan Poligami: Kajian Putusan Nomor 130/Pdt. G/2020/Ms. Bna","title-short":"Pengesahan Isbat Nikah Perkawinan Poligami","volume":"5","author":[{"family":"Muthalib","given":"Salman Abdul"}],"issued":{"date-parts":[["2022"]]}}}],"schema":"https://github.com/citation-style-language/schema/raw/master/csl-citation.json"} </w:instrText>
      </w:r>
      <w:r w:rsidR="0008245E" w:rsidRPr="002363B4">
        <w:rPr>
          <w:rFonts w:ascii="Footlight MT Light" w:eastAsia="Gentium Basic" w:hAnsi="Footlight MT Light" w:cs="Gentium Basic"/>
          <w:sz w:val="24"/>
          <w:szCs w:val="24"/>
          <w:lang w:val="id-ID"/>
        </w:rPr>
        <w:fldChar w:fldCharType="separate"/>
      </w:r>
      <w:r w:rsidR="0008245E" w:rsidRPr="002363B4">
        <w:rPr>
          <w:rFonts w:ascii="Footlight MT Light" w:eastAsia="Gentium Basic" w:hAnsi="Footlight MT Light"/>
          <w:sz w:val="24"/>
          <w:szCs w:val="24"/>
        </w:rPr>
        <w:t>(Muthalib, 2022)</w:t>
      </w:r>
      <w:r w:rsidR="0008245E"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en-US"/>
        </w:rPr>
        <w:t>.</w:t>
      </w:r>
    </w:p>
    <w:p w14:paraId="18821B89"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proofErr w:type="spellStart"/>
      <w:r w:rsidRPr="002363B4">
        <w:rPr>
          <w:rFonts w:ascii="Footlight MT Light" w:eastAsia="Gentium Basic" w:hAnsi="Footlight MT Light" w:cs="Gentium Basic"/>
          <w:sz w:val="24"/>
          <w:szCs w:val="24"/>
          <w:lang w:val="en-US"/>
        </w:rPr>
        <w:t>Meski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begitu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keberadaan</w:t>
      </w:r>
      <w:proofErr w:type="spellEnd"/>
      <w:r w:rsidRPr="002363B4">
        <w:rPr>
          <w:rFonts w:ascii="Footlight MT Light" w:eastAsia="Gentium Basic" w:hAnsi="Footlight MT Light" w:cs="Gentium Basic"/>
          <w:sz w:val="24"/>
          <w:szCs w:val="24"/>
          <w:lang w:val="en-US"/>
        </w:rPr>
        <w:t xml:space="preserve"> norma yang </w:t>
      </w:r>
      <w:proofErr w:type="spellStart"/>
      <w:r w:rsidRPr="002363B4">
        <w:rPr>
          <w:rFonts w:ascii="Footlight MT Light" w:eastAsia="Gentium Basic" w:hAnsi="Footlight MT Light" w:cs="Gentium Basic"/>
          <w:sz w:val="24"/>
          <w:szCs w:val="24"/>
          <w:lang w:val="en-US"/>
        </w:rPr>
        <w:t>relatif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lengkap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belum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tentu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menjamin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berjalan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efektif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Hambatan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terbesar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justru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muncul</w:t>
      </w:r>
      <w:proofErr w:type="spellEnd"/>
      <w:r w:rsidRPr="002363B4">
        <w:rPr>
          <w:rFonts w:ascii="Footlight MT Light" w:eastAsia="Gentium Basic" w:hAnsi="Footlight MT Light" w:cs="Gentium Basic"/>
          <w:sz w:val="24"/>
          <w:szCs w:val="24"/>
          <w:lang w:val="en-US"/>
        </w:rPr>
        <w:t xml:space="preserve"> pada </w:t>
      </w:r>
      <w:proofErr w:type="spellStart"/>
      <w:r w:rsidRPr="002363B4">
        <w:rPr>
          <w:rFonts w:ascii="Footlight MT Light" w:eastAsia="Gentium Basic" w:hAnsi="Footlight MT Light" w:cs="Gentium Basic"/>
          <w:sz w:val="24"/>
          <w:szCs w:val="24"/>
          <w:lang w:val="en-US"/>
        </w:rPr>
        <w:t>tataran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implementasi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Budaya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patriarki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masih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kuat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membentuk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relasi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kuasa</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timpang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rumah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tangga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sehingga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sering</w:t>
      </w:r>
      <w:proofErr w:type="spellEnd"/>
      <w:r w:rsidRPr="002363B4">
        <w:rPr>
          <w:rFonts w:ascii="Footlight MT Light" w:eastAsia="Gentium Basic" w:hAnsi="Footlight MT Light" w:cs="Gentium Basic"/>
          <w:sz w:val="24"/>
          <w:szCs w:val="24"/>
          <w:lang w:val="en-US"/>
        </w:rPr>
        <w:t xml:space="preserve"> kali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memiliki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posisi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tawar</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seimbang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ketika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berniat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Ketergantungan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ekonomi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kepada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suami</w:t>
      </w:r>
      <w:proofErr w:type="spellEnd"/>
      <w:r w:rsidRPr="002363B4">
        <w:rPr>
          <w:rFonts w:ascii="Footlight MT Light" w:eastAsia="Gentium Basic" w:hAnsi="Footlight MT Light" w:cs="Gentium Basic"/>
          <w:sz w:val="24"/>
          <w:szCs w:val="24"/>
          <w:lang w:val="en-US"/>
        </w:rPr>
        <w:t xml:space="preserve"> juga </w:t>
      </w:r>
      <w:proofErr w:type="spellStart"/>
      <w:r w:rsidRPr="002363B4">
        <w:rPr>
          <w:rFonts w:ascii="Footlight MT Light" w:eastAsia="Gentium Basic" w:hAnsi="Footlight MT Light" w:cs="Gentium Basic"/>
          <w:sz w:val="24"/>
          <w:szCs w:val="24"/>
          <w:lang w:val="en-US"/>
        </w:rPr>
        <w:t>membuat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banyak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berani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menolak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atau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menempuh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jalur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karena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takut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kehilangan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sumber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nafkah</w:t>
      </w:r>
      <w:proofErr w:type="spellEnd"/>
      <w:r w:rsidRPr="002363B4">
        <w:rPr>
          <w:rFonts w:ascii="Footlight MT Light" w:eastAsia="Gentium Basic" w:hAnsi="Footlight MT Light" w:cs="Gentium Basic"/>
          <w:sz w:val="24"/>
          <w:szCs w:val="24"/>
          <w:lang w:val="en-US"/>
        </w:rPr>
        <w:t xml:space="preserve">. Di </w:t>
      </w:r>
      <w:proofErr w:type="spellStart"/>
      <w:r w:rsidRPr="002363B4">
        <w:rPr>
          <w:rFonts w:ascii="Footlight MT Light" w:eastAsia="Gentium Basic" w:hAnsi="Footlight MT Light" w:cs="Gentium Basic"/>
          <w:sz w:val="24"/>
          <w:szCs w:val="24"/>
          <w:lang w:val="en-US"/>
        </w:rPr>
        <w:t>sisi</w:t>
      </w:r>
      <w:proofErr w:type="spellEnd"/>
      <w:r w:rsidRPr="002363B4">
        <w:rPr>
          <w:rFonts w:ascii="Footlight MT Light" w:eastAsia="Gentium Basic" w:hAnsi="Footlight MT Light" w:cs="Gentium Basic"/>
          <w:sz w:val="24"/>
          <w:szCs w:val="24"/>
          <w:lang w:val="en-US"/>
        </w:rPr>
        <w:t xml:space="preserve"> lain, </w:t>
      </w:r>
      <w:proofErr w:type="spellStart"/>
      <w:r w:rsidRPr="002363B4">
        <w:rPr>
          <w:rFonts w:ascii="Footlight MT Light" w:eastAsia="Gentium Basic" w:hAnsi="Footlight MT Light" w:cs="Gentium Basic"/>
          <w:sz w:val="24"/>
          <w:szCs w:val="24"/>
          <w:lang w:val="en-US"/>
        </w:rPr>
        <w:t>rendahnya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literasi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menyebabkan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sebagian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masyarakat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memahami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secara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utuh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hak</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kewajiban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perkawinan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termasuk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syarat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akibat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jika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syarat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tersebut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dilanggar</w:t>
      </w:r>
      <w:proofErr w:type="spellEnd"/>
      <w:r w:rsidRPr="002363B4">
        <w:rPr>
          <w:rFonts w:ascii="Footlight MT Light" w:eastAsia="Gentium Basic" w:hAnsi="Footlight MT Light" w:cs="Gentium Basic"/>
          <w:sz w:val="24"/>
          <w:szCs w:val="24"/>
          <w:lang w:val="en-US"/>
        </w:rPr>
        <w:t>.</w:t>
      </w:r>
    </w:p>
    <w:p w14:paraId="52672358" w14:textId="77777777" w:rsidR="009603EF" w:rsidRPr="002363B4" w:rsidRDefault="009603EF" w:rsidP="002363B4">
      <w:pPr>
        <w:spacing w:line="276" w:lineRule="auto"/>
        <w:ind w:firstLine="709"/>
        <w:jc w:val="both"/>
        <w:rPr>
          <w:rFonts w:ascii="Footlight MT Light" w:eastAsia="Gentium Basic" w:hAnsi="Footlight MT Light" w:cs="Gentium Basic"/>
          <w:sz w:val="24"/>
          <w:szCs w:val="24"/>
          <w:lang w:val="en-US"/>
        </w:rPr>
      </w:pPr>
      <w:proofErr w:type="spellStart"/>
      <w:r w:rsidRPr="002363B4">
        <w:rPr>
          <w:rFonts w:ascii="Footlight MT Light" w:eastAsia="Gentium Basic" w:hAnsi="Footlight MT Light" w:cs="Gentium Basic"/>
          <w:sz w:val="24"/>
          <w:szCs w:val="24"/>
          <w:lang w:val="en-US"/>
        </w:rPr>
        <w:t>Hambatan</w:t>
      </w:r>
      <w:proofErr w:type="spellEnd"/>
      <w:r w:rsidRPr="002363B4">
        <w:rPr>
          <w:rFonts w:ascii="Footlight MT Light" w:eastAsia="Gentium Basic" w:hAnsi="Footlight MT Light" w:cs="Gentium Basic"/>
          <w:sz w:val="24"/>
          <w:szCs w:val="24"/>
          <w:lang w:val="en-US"/>
        </w:rPr>
        <w:t xml:space="preserve"> lain </w:t>
      </w:r>
      <w:proofErr w:type="spellStart"/>
      <w:r w:rsidRPr="002363B4">
        <w:rPr>
          <w:rFonts w:ascii="Footlight MT Light" w:eastAsia="Gentium Basic" w:hAnsi="Footlight MT Light" w:cs="Gentium Basic"/>
          <w:sz w:val="24"/>
          <w:szCs w:val="24"/>
          <w:lang w:val="en-US"/>
        </w:rPr>
        <w:t>terletak</w:t>
      </w:r>
      <w:proofErr w:type="spellEnd"/>
      <w:r w:rsidRPr="002363B4">
        <w:rPr>
          <w:rFonts w:ascii="Footlight MT Light" w:eastAsia="Gentium Basic" w:hAnsi="Footlight MT Light" w:cs="Gentium Basic"/>
          <w:sz w:val="24"/>
          <w:szCs w:val="24"/>
          <w:lang w:val="en-US"/>
        </w:rPr>
        <w:t xml:space="preserve"> pada </w:t>
      </w:r>
      <w:proofErr w:type="spellStart"/>
      <w:r w:rsidRPr="002363B4">
        <w:rPr>
          <w:rFonts w:ascii="Footlight MT Light" w:eastAsia="Gentium Basic" w:hAnsi="Footlight MT Light" w:cs="Gentium Basic"/>
          <w:sz w:val="24"/>
          <w:szCs w:val="24"/>
          <w:lang w:val="en-US"/>
        </w:rPr>
        <w:t>aspek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kelembagaan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Pengawasan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administratif</w:t>
      </w:r>
      <w:proofErr w:type="spellEnd"/>
      <w:r w:rsidRPr="002363B4">
        <w:rPr>
          <w:rFonts w:ascii="Footlight MT Light" w:eastAsia="Gentium Basic" w:hAnsi="Footlight MT Light" w:cs="Gentium Basic"/>
          <w:sz w:val="24"/>
          <w:szCs w:val="24"/>
          <w:lang w:val="en-US"/>
        </w:rPr>
        <w:t xml:space="preserve"> di KUA dan </w:t>
      </w:r>
      <w:proofErr w:type="spellStart"/>
      <w:r w:rsidRPr="002363B4">
        <w:rPr>
          <w:rFonts w:ascii="Footlight MT Light" w:eastAsia="Gentium Basic" w:hAnsi="Footlight MT Light" w:cs="Gentium Basic"/>
          <w:sz w:val="24"/>
          <w:szCs w:val="24"/>
          <w:lang w:val="en-US"/>
        </w:rPr>
        <w:t>Pengadilan</w:t>
      </w:r>
      <w:proofErr w:type="spellEnd"/>
      <w:r w:rsidRPr="002363B4">
        <w:rPr>
          <w:rFonts w:ascii="Footlight MT Light" w:eastAsia="Gentium Basic" w:hAnsi="Footlight MT Light" w:cs="Gentium Basic"/>
          <w:sz w:val="24"/>
          <w:szCs w:val="24"/>
          <w:lang w:val="en-US"/>
        </w:rPr>
        <w:t xml:space="preserve"> Agama </w:t>
      </w:r>
      <w:proofErr w:type="spellStart"/>
      <w:r w:rsidRPr="002363B4">
        <w:rPr>
          <w:rFonts w:ascii="Footlight MT Light" w:eastAsia="Gentium Basic" w:hAnsi="Footlight MT Light" w:cs="Gentium Basic"/>
          <w:sz w:val="24"/>
          <w:szCs w:val="24"/>
          <w:lang w:val="en-US"/>
        </w:rPr>
        <w:t>belum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selalu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berjalan</w:t>
      </w:r>
      <w:proofErr w:type="spellEnd"/>
      <w:r w:rsidRPr="002363B4">
        <w:rPr>
          <w:rFonts w:ascii="Footlight MT Light" w:eastAsia="Gentium Basic" w:hAnsi="Footlight MT Light" w:cs="Gentium Basic"/>
          <w:sz w:val="24"/>
          <w:szCs w:val="24"/>
          <w:lang w:val="en-US"/>
        </w:rPr>
        <w:t xml:space="preserve"> optimal, </w:t>
      </w:r>
      <w:proofErr w:type="spellStart"/>
      <w:r w:rsidRPr="002363B4">
        <w:rPr>
          <w:rFonts w:ascii="Footlight MT Light" w:eastAsia="Gentium Basic" w:hAnsi="Footlight MT Light" w:cs="Gentium Basic"/>
          <w:sz w:val="24"/>
          <w:szCs w:val="24"/>
          <w:lang w:val="en-US"/>
        </w:rPr>
        <w:t>sehingga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verifikasi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atas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persetujuan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alasan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masih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bisa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dimanipulasi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beberapa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situasi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aparat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peradilan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belum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sepenuhnya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memiliki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sensitivitas</w:t>
      </w:r>
      <w:proofErr w:type="spellEnd"/>
      <w:r w:rsidRPr="002363B4">
        <w:rPr>
          <w:rFonts w:ascii="Footlight MT Light" w:eastAsia="Gentium Basic" w:hAnsi="Footlight MT Light" w:cs="Gentium Basic"/>
          <w:sz w:val="24"/>
          <w:szCs w:val="24"/>
          <w:lang w:val="en-US"/>
        </w:rPr>
        <w:t xml:space="preserve"> gender yang </w:t>
      </w:r>
      <w:proofErr w:type="spellStart"/>
      <w:r w:rsidRPr="002363B4">
        <w:rPr>
          <w:rFonts w:ascii="Footlight MT Light" w:eastAsia="Gentium Basic" w:hAnsi="Footlight MT Light" w:cs="Gentium Basic"/>
          <w:sz w:val="24"/>
          <w:szCs w:val="24"/>
          <w:lang w:val="en-US"/>
        </w:rPr>
        <w:t>memadai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untuk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membaca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ketimpangan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relasi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kuasa</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terjadi</w:t>
      </w:r>
      <w:proofErr w:type="spellEnd"/>
      <w:r w:rsidRPr="002363B4">
        <w:rPr>
          <w:rFonts w:ascii="Footlight MT Light" w:eastAsia="Gentium Basic" w:hAnsi="Footlight MT Light" w:cs="Gentium Basic"/>
          <w:sz w:val="24"/>
          <w:szCs w:val="24"/>
          <w:lang w:val="en-US"/>
        </w:rPr>
        <w:t xml:space="preserve"> di </w:t>
      </w:r>
      <w:proofErr w:type="spellStart"/>
      <w:r w:rsidRPr="002363B4">
        <w:rPr>
          <w:rFonts w:ascii="Footlight MT Light" w:eastAsia="Gentium Basic" w:hAnsi="Footlight MT Light" w:cs="Gentium Basic"/>
          <w:sz w:val="24"/>
          <w:szCs w:val="24"/>
          <w:lang w:val="en-US"/>
        </w:rPr>
        <w:t>balik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permohonan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Akibatnya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seharusnya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bersifat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substantif</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justru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sering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berhenti</w:t>
      </w:r>
      <w:proofErr w:type="spellEnd"/>
      <w:r w:rsidRPr="002363B4">
        <w:rPr>
          <w:rFonts w:ascii="Footlight MT Light" w:eastAsia="Gentium Basic" w:hAnsi="Footlight MT Light" w:cs="Gentium Basic"/>
          <w:sz w:val="24"/>
          <w:szCs w:val="24"/>
          <w:lang w:val="en-US"/>
        </w:rPr>
        <w:t xml:space="preserve"> pada </w:t>
      </w:r>
      <w:proofErr w:type="spellStart"/>
      <w:r w:rsidRPr="002363B4">
        <w:rPr>
          <w:rFonts w:ascii="Footlight MT Light" w:eastAsia="Gentium Basic" w:hAnsi="Footlight MT Light" w:cs="Gentium Basic"/>
          <w:sz w:val="24"/>
          <w:szCs w:val="24"/>
          <w:lang w:val="en-US"/>
        </w:rPr>
        <w:t>aspek</w:t>
      </w:r>
      <w:proofErr w:type="spellEnd"/>
      <w:r w:rsidRPr="002363B4">
        <w:rPr>
          <w:rFonts w:ascii="Footlight MT Light" w:eastAsia="Gentium Basic" w:hAnsi="Footlight MT Light" w:cs="Gentium Basic"/>
          <w:sz w:val="24"/>
          <w:szCs w:val="24"/>
          <w:lang w:val="en-US"/>
        </w:rPr>
        <w:t xml:space="preserve"> formal. </w:t>
      </w:r>
      <w:proofErr w:type="spellStart"/>
      <w:r w:rsidRPr="002363B4">
        <w:rPr>
          <w:rFonts w:ascii="Footlight MT Light" w:eastAsia="Gentium Basic" w:hAnsi="Footlight MT Light" w:cs="Gentium Basic"/>
          <w:sz w:val="24"/>
          <w:szCs w:val="24"/>
          <w:lang w:val="en-US"/>
        </w:rPr>
        <w:t>Padahal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tujuan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pembatasan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adalah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memastikan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bahwa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tetap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terlindungi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secara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ekonomi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sosial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maupun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psikologis</w:t>
      </w:r>
      <w:proofErr w:type="spellEnd"/>
      <w:r w:rsidRPr="002363B4">
        <w:rPr>
          <w:rFonts w:ascii="Footlight MT Light" w:eastAsia="Gentium Basic" w:hAnsi="Footlight MT Light" w:cs="Gentium Basic"/>
          <w:sz w:val="24"/>
          <w:szCs w:val="24"/>
          <w:lang w:val="en-US"/>
        </w:rPr>
        <w:t>.</w:t>
      </w:r>
    </w:p>
    <w:p w14:paraId="59C3D93C" w14:textId="77777777" w:rsidR="00B109B1" w:rsidRPr="002363B4" w:rsidRDefault="009603EF" w:rsidP="002363B4">
      <w:pPr>
        <w:spacing w:line="276" w:lineRule="auto"/>
        <w:ind w:firstLine="709"/>
        <w:jc w:val="both"/>
        <w:rPr>
          <w:rFonts w:ascii="Footlight MT Light" w:eastAsia="Gentium Basic" w:hAnsi="Footlight MT Light" w:cs="Gentium Basic"/>
          <w:sz w:val="24"/>
          <w:szCs w:val="24"/>
          <w:lang w:val="en-US"/>
        </w:rPr>
      </w:pPr>
      <w:proofErr w:type="spellStart"/>
      <w:r w:rsidRPr="002363B4">
        <w:rPr>
          <w:rFonts w:ascii="Footlight MT Light" w:eastAsia="Gentium Basic" w:hAnsi="Footlight MT Light" w:cs="Gentium Basic"/>
          <w:sz w:val="24"/>
          <w:szCs w:val="24"/>
          <w:lang w:val="en-US"/>
        </w:rPr>
        <w:t>Berdasarkan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uraian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tersebut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dapat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dipahami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bahwa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pengaturan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mengenai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sebenarnya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telah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menyediakan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perangkat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cukup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jelas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bagi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Akan </w:t>
      </w:r>
      <w:proofErr w:type="spellStart"/>
      <w:r w:rsidRPr="002363B4">
        <w:rPr>
          <w:rFonts w:ascii="Footlight MT Light" w:eastAsia="Gentium Basic" w:hAnsi="Footlight MT Light" w:cs="Gentium Basic"/>
          <w:sz w:val="24"/>
          <w:szCs w:val="24"/>
          <w:lang w:val="en-US"/>
        </w:rPr>
        <w:t>tetapi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efektivitas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itu</w:t>
      </w:r>
      <w:proofErr w:type="spellEnd"/>
      <w:r w:rsidRPr="002363B4">
        <w:rPr>
          <w:rFonts w:ascii="Footlight MT Light" w:eastAsia="Gentium Basic" w:hAnsi="Footlight MT Light" w:cs="Gentium Basic"/>
          <w:sz w:val="24"/>
          <w:szCs w:val="24"/>
          <w:lang w:val="en-US"/>
        </w:rPr>
        <w:t xml:space="preserve"> sangat </w:t>
      </w:r>
      <w:proofErr w:type="spellStart"/>
      <w:r w:rsidRPr="002363B4">
        <w:rPr>
          <w:rFonts w:ascii="Footlight MT Light" w:eastAsia="Gentium Basic" w:hAnsi="Footlight MT Light" w:cs="Gentium Basic"/>
          <w:sz w:val="24"/>
          <w:szCs w:val="24"/>
          <w:lang w:val="en-US"/>
        </w:rPr>
        <w:t>bergantung</w:t>
      </w:r>
      <w:proofErr w:type="spellEnd"/>
      <w:r w:rsidRPr="002363B4">
        <w:rPr>
          <w:rFonts w:ascii="Footlight MT Light" w:eastAsia="Gentium Basic" w:hAnsi="Footlight MT Light" w:cs="Gentium Basic"/>
          <w:sz w:val="24"/>
          <w:szCs w:val="24"/>
          <w:lang w:val="en-US"/>
        </w:rPr>
        <w:t xml:space="preserve"> pada </w:t>
      </w:r>
      <w:proofErr w:type="spellStart"/>
      <w:r w:rsidRPr="002363B4">
        <w:rPr>
          <w:rFonts w:ascii="Footlight MT Light" w:eastAsia="Gentium Basic" w:hAnsi="Footlight MT Light" w:cs="Gentium Basic"/>
          <w:sz w:val="24"/>
          <w:szCs w:val="24"/>
          <w:lang w:val="en-US"/>
        </w:rPr>
        <w:t>keseriusan</w:t>
      </w:r>
      <w:proofErr w:type="spellEnd"/>
      <w:r w:rsidRPr="002363B4">
        <w:rPr>
          <w:rFonts w:ascii="Footlight MT Light" w:eastAsia="Gentium Basic" w:hAnsi="Footlight MT Light" w:cs="Gentium Basic"/>
          <w:sz w:val="24"/>
          <w:szCs w:val="24"/>
          <w:lang w:val="en-US"/>
        </w:rPr>
        <w:t xml:space="preserve"> negara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mengawasi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praktik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konsistensi</w:t>
      </w:r>
      <w:proofErr w:type="spellEnd"/>
      <w:r w:rsidRPr="002363B4">
        <w:rPr>
          <w:rFonts w:ascii="Footlight MT Light" w:eastAsia="Gentium Basic" w:hAnsi="Footlight MT Light" w:cs="Gentium Basic"/>
          <w:sz w:val="24"/>
          <w:szCs w:val="24"/>
          <w:lang w:val="en-US"/>
        </w:rPr>
        <w:t xml:space="preserve"> hakim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menilai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permohonan</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keberanian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untuk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menerapkan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sanksi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terhadap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pelanggaran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prosedur</w:t>
      </w:r>
      <w:proofErr w:type="spellEnd"/>
      <w:r w:rsidRPr="002363B4">
        <w:rPr>
          <w:rFonts w:ascii="Footlight MT Light" w:eastAsia="Gentium Basic" w:hAnsi="Footlight MT Light" w:cs="Gentium Basic"/>
          <w:sz w:val="24"/>
          <w:szCs w:val="24"/>
          <w:lang w:val="en-US"/>
        </w:rPr>
        <w:t xml:space="preserve">. Oleh </w:t>
      </w:r>
      <w:proofErr w:type="spellStart"/>
      <w:r w:rsidRPr="002363B4">
        <w:rPr>
          <w:rFonts w:ascii="Footlight MT Light" w:eastAsia="Gentium Basic" w:hAnsi="Footlight MT Light" w:cs="Gentium Basic"/>
          <w:sz w:val="24"/>
          <w:szCs w:val="24"/>
          <w:lang w:val="en-US"/>
        </w:rPr>
        <w:t>karena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penguatan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mekanisme</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verifikasi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persetujuan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peningkatan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sensitivitas</w:t>
      </w:r>
      <w:proofErr w:type="spellEnd"/>
      <w:r w:rsidRPr="002363B4">
        <w:rPr>
          <w:rFonts w:ascii="Footlight MT Light" w:eastAsia="Gentium Basic" w:hAnsi="Footlight MT Light" w:cs="Gentium Basic"/>
          <w:sz w:val="24"/>
          <w:szCs w:val="24"/>
          <w:lang w:val="en-US"/>
        </w:rPr>
        <w:t xml:space="preserve"> gender </w:t>
      </w:r>
      <w:proofErr w:type="spellStart"/>
      <w:r w:rsidRPr="002363B4">
        <w:rPr>
          <w:rFonts w:ascii="Footlight MT Light" w:eastAsia="Gentium Basic" w:hAnsi="Footlight MT Light" w:cs="Gentium Basic"/>
          <w:sz w:val="24"/>
          <w:szCs w:val="24"/>
          <w:lang w:val="en-US"/>
        </w:rPr>
        <w:t>aparat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peradilan</w:t>
      </w:r>
      <w:proofErr w:type="spellEnd"/>
      <w:r w:rsidRPr="002363B4">
        <w:rPr>
          <w:rFonts w:ascii="Footlight MT Light" w:eastAsia="Gentium Basic" w:hAnsi="Footlight MT Light" w:cs="Gentium Basic"/>
          <w:sz w:val="24"/>
          <w:szCs w:val="24"/>
          <w:lang w:val="en-US"/>
        </w:rPr>
        <w:t xml:space="preserve"> agama, </w:t>
      </w:r>
      <w:proofErr w:type="spellStart"/>
      <w:r w:rsidRPr="002363B4">
        <w:rPr>
          <w:rFonts w:ascii="Footlight MT Light" w:eastAsia="Gentium Basic" w:hAnsi="Footlight MT Light" w:cs="Gentium Basic"/>
          <w:sz w:val="24"/>
          <w:szCs w:val="24"/>
          <w:lang w:val="en-US"/>
        </w:rPr>
        <w:t>serta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penegakan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sanksi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terhadap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poligami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tanpa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izin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menjadi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langkah</w:t>
      </w:r>
      <w:proofErr w:type="spellEnd"/>
      <w:r w:rsidRPr="002363B4">
        <w:rPr>
          <w:rFonts w:ascii="Footlight MT Light" w:eastAsia="Gentium Basic" w:hAnsi="Footlight MT Light" w:cs="Gentium Basic"/>
          <w:sz w:val="24"/>
          <w:szCs w:val="24"/>
          <w:lang w:val="en-US"/>
        </w:rPr>
        <w:t xml:space="preserve"> yang sangat </w:t>
      </w:r>
      <w:proofErr w:type="spellStart"/>
      <w:r w:rsidRPr="002363B4">
        <w:rPr>
          <w:rFonts w:ascii="Footlight MT Light" w:eastAsia="Gentium Basic" w:hAnsi="Footlight MT Light" w:cs="Gentium Basic"/>
          <w:sz w:val="24"/>
          <w:szCs w:val="24"/>
          <w:lang w:val="en-US"/>
        </w:rPr>
        <w:t>penting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Dengan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demikian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hukum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tidak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berhenti</w:t>
      </w:r>
      <w:proofErr w:type="spellEnd"/>
      <w:r w:rsidRPr="002363B4">
        <w:rPr>
          <w:rFonts w:ascii="Footlight MT Light" w:eastAsia="Gentium Basic" w:hAnsi="Footlight MT Light" w:cs="Gentium Basic"/>
          <w:sz w:val="24"/>
          <w:szCs w:val="24"/>
          <w:lang w:val="en-US"/>
        </w:rPr>
        <w:t xml:space="preserve"> pada </w:t>
      </w:r>
      <w:proofErr w:type="spellStart"/>
      <w:r w:rsidRPr="002363B4">
        <w:rPr>
          <w:rFonts w:ascii="Footlight MT Light" w:eastAsia="Gentium Basic" w:hAnsi="Footlight MT Light" w:cs="Gentium Basic"/>
          <w:sz w:val="24"/>
          <w:szCs w:val="24"/>
          <w:lang w:val="en-US"/>
        </w:rPr>
        <w:t>teks</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peraturan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tetapi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benar-benar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hadir</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dalam</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praktik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untuk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menjaga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hak</w:t>
      </w:r>
      <w:proofErr w:type="spellEnd"/>
      <w:r w:rsidRPr="002363B4">
        <w:rPr>
          <w:rFonts w:ascii="Footlight MT Light" w:eastAsia="Gentium Basic" w:hAnsi="Footlight MT Light" w:cs="Gentium Basic"/>
          <w:sz w:val="24"/>
          <w:szCs w:val="24"/>
          <w:lang w:val="en-US"/>
        </w:rPr>
        <w:t xml:space="preserve"> dan </w:t>
      </w:r>
      <w:proofErr w:type="spellStart"/>
      <w:r w:rsidRPr="002363B4">
        <w:rPr>
          <w:rFonts w:ascii="Footlight MT Light" w:eastAsia="Gentium Basic" w:hAnsi="Footlight MT Light" w:cs="Gentium Basic"/>
          <w:sz w:val="24"/>
          <w:szCs w:val="24"/>
          <w:lang w:val="en-US"/>
        </w:rPr>
        <w:t>martabat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00B109B1" w:rsidRPr="002363B4">
        <w:rPr>
          <w:rFonts w:ascii="Footlight MT Light" w:eastAsia="Gentium Basic" w:hAnsi="Footlight MT Light" w:cs="Gentium Basic"/>
          <w:sz w:val="24"/>
          <w:szCs w:val="24"/>
        </w:rPr>
        <w:t>.</w:t>
      </w:r>
    </w:p>
    <w:p w14:paraId="28FB9AC2" w14:textId="3AACC2C8" w:rsidR="00B109B1" w:rsidRPr="002363B4" w:rsidRDefault="00B109B1" w:rsidP="002363B4">
      <w:pPr>
        <w:spacing w:before="120" w:after="60" w:line="276" w:lineRule="auto"/>
        <w:jc w:val="both"/>
        <w:rPr>
          <w:rFonts w:ascii="Footlight MT Light" w:eastAsia="Gentium Basic" w:hAnsi="Footlight MT Light" w:cs="Gentium Basic"/>
          <w:b/>
          <w:sz w:val="24"/>
          <w:szCs w:val="24"/>
        </w:rPr>
      </w:pPr>
      <w:r w:rsidRPr="002363B4">
        <w:rPr>
          <w:rFonts w:ascii="Footlight MT Light" w:eastAsia="Gentium Basic" w:hAnsi="Footlight MT Light" w:cs="Gentium Basic"/>
          <w:b/>
          <w:sz w:val="24"/>
          <w:szCs w:val="24"/>
        </w:rPr>
        <w:t>Perbandingan Penyelesaian Sengketa Poligami Tanpa Izin Pengadilan di Indonesia dan Negara Lain</w:t>
      </w:r>
    </w:p>
    <w:p w14:paraId="576CD9BE"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t>Perbandingan penyelesaian sengketa poligami tanpa izin pengadilan di Indonesia dan negara lain menunjukkan bahwa setiap sistem hukum memiliki cara yang berbeda dalam menempatkan poligami, baik sebagai praktik yang dibatasi secara ketat, diawasi secara yudisial, maupun dilarang secara absolut</w:t>
      </w:r>
      <w:r w:rsidR="0008245E" w:rsidRPr="002363B4">
        <w:rPr>
          <w:rFonts w:ascii="Footlight MT Light" w:eastAsia="Gentium Basic" w:hAnsi="Footlight MT Light" w:cs="Gentium Basic"/>
          <w:sz w:val="24"/>
          <w:szCs w:val="24"/>
          <w:lang w:val="id-ID"/>
        </w:rPr>
        <w:t xml:space="preserve"> </w:t>
      </w:r>
      <w:r w:rsidR="0008245E" w:rsidRPr="002363B4">
        <w:rPr>
          <w:rFonts w:ascii="Footlight MT Light" w:eastAsia="Gentium Basic" w:hAnsi="Footlight MT Light" w:cs="Gentium Basic"/>
          <w:sz w:val="24"/>
          <w:szCs w:val="24"/>
          <w:lang w:val="id-ID"/>
        </w:rPr>
        <w:fldChar w:fldCharType="begin"/>
      </w:r>
      <w:r w:rsidR="0008245E" w:rsidRPr="002363B4">
        <w:rPr>
          <w:rFonts w:ascii="Footlight MT Light" w:eastAsia="Gentium Basic" w:hAnsi="Footlight MT Light" w:cs="Gentium Basic"/>
          <w:sz w:val="24"/>
          <w:szCs w:val="24"/>
          <w:lang w:val="id-ID"/>
        </w:rPr>
        <w:instrText xml:space="preserve"> ADDIN ZOTERO_ITEM CSL_CITATION {"citationID":"VEmNTdqW","properties":{"unsorted":false,"formattedCitation":"(Marlina dkk., 2024)","plainCitation":"(Marlina dkk., 2024)","noteIndex":0},"citationItems":[{"id":3414,"uris":["http://zotero.org/users/local/OLR5BNKJ/items/6IQNZF4G"],"itemData":{"id":3414,"type":"article-journal","container-title":"Jurnal Inovasi Hukum dan Kebijakan","issue":"4","source":"Google Scholar","title":"Perbandingan Hukum Poligami Di Indonesia Dan Malaysia","URL":"https://ejurnals.com/ojs/index.php/jihk/article/view/399","volume":"5","author":[{"family":"Marlina","given":"Siti"},{"family":"Saleh","given":"Syukri"},{"family":"Efendi","given":"Ilham"},{"family":"Ramadhani","given":"Muhammad"},{"family":"Saputra","given":"Kurniadi Darmawan"}],"accessed":{"date-parts":[["2026",5,11]]},"issued":{"date-parts":[["2024"]]}}}],"schema":"https://github.com/citation-style-language/schema/raw/master/csl-citation.json"} </w:instrText>
      </w:r>
      <w:r w:rsidR="0008245E" w:rsidRPr="002363B4">
        <w:rPr>
          <w:rFonts w:ascii="Footlight MT Light" w:eastAsia="Gentium Basic" w:hAnsi="Footlight MT Light" w:cs="Gentium Basic"/>
          <w:sz w:val="24"/>
          <w:szCs w:val="24"/>
          <w:lang w:val="id-ID"/>
        </w:rPr>
        <w:fldChar w:fldCharType="separate"/>
      </w:r>
      <w:r w:rsidR="0008245E" w:rsidRPr="002363B4">
        <w:rPr>
          <w:rFonts w:ascii="Footlight MT Light" w:eastAsia="Gentium Basic" w:hAnsi="Footlight MT Light"/>
          <w:sz w:val="24"/>
          <w:szCs w:val="24"/>
        </w:rPr>
        <w:t>(Marlina dkk., 2024)</w:t>
      </w:r>
      <w:r w:rsidR="0008245E"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Di Indonesia, penyelesaian sengketa poligami tanpa izin pengadilan pada umumnya ditempuh melalui jalur Pengadilan Agama. Bentuk penyelesaiannya dapat berupa gugatan perceraian, tuntutan nafkah, permohonan pembatalan perkawinan, penetapan status anak, maupun pembagian harta bersama. Dalam perkara-perkara tersebut, fakta adanya poligami tanpa izin biasanya menjadi dasar penting bagi hakim untuk menilai adanya pelanggaran kewajiban suami, ketidakadilan terhadap istri, dan ketidaktertiban dalam kehidupan perkawinan. Namun demikian, meskipun secara normatif tersedia berbagai instrumen hukum, penegakan sanksi pidana terhadap pelaku poligami tanpa izin masih belum menjadi praktik yang dominan.</w:t>
      </w:r>
    </w:p>
    <w:p w14:paraId="05EA42FE"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t xml:space="preserve">Dalam konteks Indonesia, Pengadilan Agama berperan sebagai forum utama untuk menguji keabsahan perkawinan dan menilai dampak poligami terhadap hak-hak istri pertama. Ketika suami melakukan poligami tanpa izin, istri dapat menggunakan fakta tersebut sebagai dasar untuk menggugat cerai atau meminta pembatalan perkawinan kedua jika perkawinan tersebut </w:t>
      </w:r>
      <w:r w:rsidRPr="002363B4">
        <w:rPr>
          <w:rFonts w:ascii="Footlight MT Light" w:eastAsia="Gentium Basic" w:hAnsi="Footlight MT Light" w:cs="Gentium Basic"/>
          <w:sz w:val="24"/>
          <w:szCs w:val="24"/>
        </w:rPr>
        <w:lastRenderedPageBreak/>
        <w:t>bertentangan dengan ketentuan hukum</w:t>
      </w:r>
      <w:r w:rsidR="00832AAD" w:rsidRPr="002363B4">
        <w:rPr>
          <w:rFonts w:ascii="Footlight MT Light" w:eastAsia="Gentium Basic" w:hAnsi="Footlight MT Light" w:cs="Gentium Basic"/>
          <w:sz w:val="24"/>
          <w:szCs w:val="24"/>
          <w:lang w:val="id-ID"/>
        </w:rPr>
        <w:t xml:space="preserve"> </w:t>
      </w:r>
      <w:r w:rsidR="00832AAD" w:rsidRPr="002363B4">
        <w:rPr>
          <w:rFonts w:ascii="Footlight MT Light" w:eastAsia="Gentium Basic" w:hAnsi="Footlight MT Light" w:cs="Gentium Basic"/>
          <w:sz w:val="24"/>
          <w:szCs w:val="24"/>
          <w:lang w:val="id-ID"/>
        </w:rPr>
        <w:fldChar w:fldCharType="begin"/>
      </w:r>
      <w:r w:rsidR="00832AAD" w:rsidRPr="002363B4">
        <w:rPr>
          <w:rFonts w:ascii="Footlight MT Light" w:eastAsia="Gentium Basic" w:hAnsi="Footlight MT Light" w:cs="Gentium Basic"/>
          <w:sz w:val="24"/>
          <w:szCs w:val="24"/>
          <w:lang w:val="id-ID"/>
        </w:rPr>
        <w:instrText xml:space="preserve"> ADDIN ZOTERO_ITEM CSL_CITATION {"citationID":"ubFuUkfW","properties":{"unsorted":false,"formattedCitation":"(Nugraha &amp; Akbar, 2025)","plainCitation":"(Nugraha &amp; Akbar, 2025)","noteIndex":0},"citationItems":[{"id":3399,"uris":["http://zotero.org/users/local/OLR5BNKJ/items/3IJLMKX5"],"itemData":{"id":3399,"type":"article-journal","container-title":"BUSTANUL FUQAHA: Jurnal Bidang Hukum Islam","issue":"1","page":"208–223","source":"Google Scholar","title":"Analisis Pertimbangan Hakim di Pengadilan Agama Mungkid Terkait Tidak Diterimanya Izin Poligami yang Terpenuhinya Syarat Kumulatif (No. 296/Pdt. G/2021/PA. Mkd): Analysis of Judges' Considerations at the Mungkid Religious Court Regarding the Non-Acceptance of Polygamy Permits That Meet the Cumulative Requirements (No. 296/Pdt. G/2021/PA. Mkd)","title-short":"Analisis Pertimbangan Hakim di Pengadilan Agama Mungkid Terkait Tidak Diterimanya Izin Poligami yang Terpenuhinya Syarat Kumulatif (No. 296/Pdt. G/2021/PA. Mkd)","volume":"6","author":[{"family":"Nugraha","given":"Andra"},{"family":"Akbar","given":"Ali"}],"issued":{"date-parts":[["2025"]]}}}],"schema":"https://github.com/citation-style-language/schema/raw/master/csl-citation.json"} </w:instrText>
      </w:r>
      <w:r w:rsidR="00832AAD" w:rsidRPr="002363B4">
        <w:rPr>
          <w:rFonts w:ascii="Footlight MT Light" w:eastAsia="Gentium Basic" w:hAnsi="Footlight MT Light" w:cs="Gentium Basic"/>
          <w:sz w:val="24"/>
          <w:szCs w:val="24"/>
          <w:lang w:val="id-ID"/>
        </w:rPr>
        <w:fldChar w:fldCharType="separate"/>
      </w:r>
      <w:r w:rsidR="00832AAD" w:rsidRPr="002363B4">
        <w:rPr>
          <w:rFonts w:ascii="Footlight MT Light" w:eastAsia="Gentium Basic" w:hAnsi="Footlight MT Light"/>
          <w:sz w:val="24"/>
          <w:szCs w:val="24"/>
        </w:rPr>
        <w:t>(Nugraha &amp; Akbar, 2025)</w:t>
      </w:r>
      <w:r w:rsidR="00832AAD"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Selain itu, fakta poligami tanpa izin juga dapat memengaruhi pertimbangan hakim dalam perkara nafkah dan harta bersama karena menunjukkan adanya pelanggaran terhadap kewajiban hukum suami. Akan tetapi, efektivitas perlindungan ini masih bergantung pada keberanian istri untuk menempuh proses hukum, kemampuan pembuktian, dan konsistensi hakim dalam menilai perkara. Dalam praktiknya, poligami siri sering kali menyulitkan pembuktian karena tidak tercatat secara resmi, sehingga posisi istri menjadi lebih lemah</w:t>
      </w:r>
      <w:r w:rsidR="0008245E" w:rsidRPr="002363B4">
        <w:rPr>
          <w:rFonts w:ascii="Footlight MT Light" w:eastAsia="Gentium Basic" w:hAnsi="Footlight MT Light" w:cs="Gentium Basic"/>
          <w:sz w:val="24"/>
          <w:szCs w:val="24"/>
          <w:lang w:val="id-ID"/>
        </w:rPr>
        <w:t xml:space="preserve"> </w:t>
      </w:r>
      <w:r w:rsidR="0008245E" w:rsidRPr="002363B4">
        <w:rPr>
          <w:rFonts w:ascii="Footlight MT Light" w:eastAsia="Gentium Basic" w:hAnsi="Footlight MT Light" w:cs="Gentium Basic"/>
          <w:sz w:val="24"/>
          <w:szCs w:val="24"/>
          <w:lang w:val="id-ID"/>
        </w:rPr>
        <w:fldChar w:fldCharType="begin"/>
      </w:r>
      <w:r w:rsidR="0008245E" w:rsidRPr="002363B4">
        <w:rPr>
          <w:rFonts w:ascii="Footlight MT Light" w:eastAsia="Gentium Basic" w:hAnsi="Footlight MT Light" w:cs="Gentium Basic"/>
          <w:sz w:val="24"/>
          <w:szCs w:val="24"/>
          <w:lang w:val="id-ID"/>
        </w:rPr>
        <w:instrText xml:space="preserve"> ADDIN ZOTERO_ITEM CSL_CITATION {"citationID":"Z5fAOoyP","properties":{"unsorted":false,"formattedCitation":"(Nadia, 2025)","plainCitation":"(Nadia, 2025)","noteIndex":0},"citationItems":[{"id":3397,"uris":["http://zotero.org/users/local/OLR5BNKJ/items/R4LPHJMF"],"itemData":{"id":3397,"type":"article-journal","container-title":"Arus Jurnal Sosial dan Humaniora","issue":"2","page":"3027–3035","source":"Google Scholar","title":"Perlindungan Hukum terhadap Hak Anak Akibat Permohonan Itsbat Nikah yang tidak dapat Diterima dalam Praktik Poligami Sirri (Studi Kasus Putusan Nomor 638/PDT. G/2020/PA. GSG)","volume":"5","author":[{"family":"Nadia","given":"Najwa"}],"issued":{"date-parts":[["2025"]]}}}],"schema":"https://github.com/citation-style-language/schema/raw/master/csl-citation.json"} </w:instrText>
      </w:r>
      <w:r w:rsidR="0008245E" w:rsidRPr="002363B4">
        <w:rPr>
          <w:rFonts w:ascii="Footlight MT Light" w:eastAsia="Gentium Basic" w:hAnsi="Footlight MT Light" w:cs="Gentium Basic"/>
          <w:sz w:val="24"/>
          <w:szCs w:val="24"/>
          <w:lang w:val="id-ID"/>
        </w:rPr>
        <w:fldChar w:fldCharType="separate"/>
      </w:r>
      <w:r w:rsidR="0008245E" w:rsidRPr="002363B4">
        <w:rPr>
          <w:rFonts w:ascii="Footlight MT Light" w:eastAsia="Gentium Basic" w:hAnsi="Footlight MT Light"/>
          <w:sz w:val="24"/>
          <w:szCs w:val="24"/>
        </w:rPr>
        <w:t>(Nadia, 2025)</w:t>
      </w:r>
      <w:r w:rsidR="0008245E"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w:t>
      </w:r>
    </w:p>
    <w:p w14:paraId="0718AC25"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t>Malaysia memperlihatkan pendekatan yang lebih ketat melalui Mahkamah Syariah. Seorang suami yang ingin berpoligami wajib mengajukan permohonan kepada mahkamah dan membuktikan bahwa ia memenuhi syarat yang ditentukan oleh hukum keluarga Islam, termasuk kemampuan ekonomi, jaminan keadilan, serta persetujuan istri. Jika poligami dilakukan tanpa izin mahkamah, pelaku dapat dikenai sanksi berupa denda atau pidana</w:t>
      </w:r>
      <w:r w:rsidR="0008245E" w:rsidRPr="002363B4">
        <w:rPr>
          <w:rFonts w:ascii="Footlight MT Light" w:eastAsia="Gentium Basic" w:hAnsi="Footlight MT Light" w:cs="Gentium Basic"/>
          <w:sz w:val="24"/>
          <w:szCs w:val="24"/>
          <w:lang w:val="id-ID"/>
        </w:rPr>
        <w:t xml:space="preserve"> </w:t>
      </w:r>
      <w:r w:rsidR="0008245E" w:rsidRPr="002363B4">
        <w:rPr>
          <w:rFonts w:ascii="Footlight MT Light" w:eastAsia="Gentium Basic" w:hAnsi="Footlight MT Light" w:cs="Gentium Basic"/>
          <w:sz w:val="24"/>
          <w:szCs w:val="24"/>
          <w:lang w:val="id-ID"/>
        </w:rPr>
        <w:fldChar w:fldCharType="begin"/>
      </w:r>
      <w:r w:rsidR="0008245E" w:rsidRPr="002363B4">
        <w:rPr>
          <w:rFonts w:ascii="Footlight MT Light" w:eastAsia="Gentium Basic" w:hAnsi="Footlight MT Light" w:cs="Gentium Basic"/>
          <w:sz w:val="24"/>
          <w:szCs w:val="24"/>
          <w:lang w:val="id-ID"/>
        </w:rPr>
        <w:instrText xml:space="preserve"> ADDIN ZOTERO_ITEM CSL_CITATION {"citationID":"DShRKe94","properties":{"unsorted":false,"formattedCitation":"(Zami &amp; Bahtiar, 2025)","plainCitation":"(Zami &amp; Bahtiar, 2025)","noteIndex":0},"citationItems":[{"id":3411,"uris":["http://zotero.org/users/local/OLR5BNKJ/items/WW9AX35E"],"itemData":{"id":3411,"type":"article-journal","container-title":"Fikroh","issue":"2","page":"190–202","source":"Google Scholar","title":"Perbandingan Perlindungan Hukum antara Indonesia dengan Malaysia terhadap Hak-Hak Istri dalam Pernikahan Poligami: Perspektif Hukum Keluarga Islam dan Hak Asasi Manusia","title-short":"Perbandingan Perlindungan Hukum antara Indonesia dengan Malaysia terhadap Hak-Hak Istri dalam Pernikahan Poligami","volume":"9","author":[{"family":"Zami","given":"Muhammad Khotam Zam"},{"family":"Bahtiar","given":"M. Rifqi Subakti"}],"issued":{"date-parts":[["2025"]]}}}],"schema":"https://github.com/citation-style-language/schema/raw/master/csl-citation.json"} </w:instrText>
      </w:r>
      <w:r w:rsidR="0008245E" w:rsidRPr="002363B4">
        <w:rPr>
          <w:rFonts w:ascii="Footlight MT Light" w:eastAsia="Gentium Basic" w:hAnsi="Footlight MT Light" w:cs="Gentium Basic"/>
          <w:sz w:val="24"/>
          <w:szCs w:val="24"/>
          <w:lang w:val="id-ID"/>
        </w:rPr>
        <w:fldChar w:fldCharType="separate"/>
      </w:r>
      <w:r w:rsidR="0008245E" w:rsidRPr="002363B4">
        <w:rPr>
          <w:rFonts w:ascii="Footlight MT Light" w:eastAsia="Gentium Basic" w:hAnsi="Footlight MT Light"/>
          <w:sz w:val="24"/>
          <w:szCs w:val="24"/>
        </w:rPr>
        <w:t>(Zami &amp; Bahtiar, 2025)</w:t>
      </w:r>
      <w:r w:rsidR="0008245E"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Sistem ini menunjukkan bahwa perlindungan terhadap perempuan dibangun bukan hanya melalui pengakuan hak istri untuk menolak, tetapi juga melalui ancaman sanksi yang nyata terhadap pelanggaran prosedur. Dengan model seperti ini, pengawasan yudisial tidak berhenti pada tahap pemeriksaan formal, melainkan benar-benar menjadi instrumen pengendali perilaku hukum suami.</w:t>
      </w:r>
    </w:p>
    <w:p w14:paraId="5890BED0"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rPr>
      </w:pPr>
      <w:r w:rsidRPr="002363B4">
        <w:rPr>
          <w:rFonts w:ascii="Footlight MT Light" w:eastAsia="Gentium Basic" w:hAnsi="Footlight MT Light" w:cs="Gentium Basic"/>
          <w:sz w:val="24"/>
          <w:szCs w:val="24"/>
        </w:rPr>
        <w:t>Pengalaman Malaysia penting karena menunjukkan bahwa kekuatan perlindungan hukum tidak hanya ditentukan oleh ada atau tidaknya aturan, tetapi juga oleh konsistensi penerapan sanksi. Ketika sanksi denda atau pidana benar-benar diberlakukan, maka suami memiliki insentif hukum untuk tidak mengabaikan prosedur</w:t>
      </w:r>
      <w:r w:rsidR="0008245E" w:rsidRPr="002363B4">
        <w:rPr>
          <w:rFonts w:ascii="Footlight MT Light" w:eastAsia="Gentium Basic" w:hAnsi="Footlight MT Light" w:cs="Gentium Basic"/>
          <w:sz w:val="24"/>
          <w:szCs w:val="24"/>
          <w:lang w:val="id-ID"/>
        </w:rPr>
        <w:t xml:space="preserve"> </w:t>
      </w:r>
      <w:r w:rsidR="0008245E" w:rsidRPr="002363B4">
        <w:rPr>
          <w:rFonts w:ascii="Footlight MT Light" w:eastAsia="Gentium Basic" w:hAnsi="Footlight MT Light" w:cs="Gentium Basic"/>
          <w:sz w:val="24"/>
          <w:szCs w:val="24"/>
          <w:lang w:val="id-ID"/>
        </w:rPr>
        <w:fldChar w:fldCharType="begin"/>
      </w:r>
      <w:r w:rsidR="0008245E" w:rsidRPr="002363B4">
        <w:rPr>
          <w:rFonts w:ascii="Footlight MT Light" w:eastAsia="Gentium Basic" w:hAnsi="Footlight MT Light" w:cs="Gentium Basic"/>
          <w:sz w:val="24"/>
          <w:szCs w:val="24"/>
          <w:lang w:val="id-ID"/>
        </w:rPr>
        <w:instrText xml:space="preserve"> ADDIN ZOTERO_ITEM CSL_CITATION {"citationID":"51ggtfmg","properties":{"unsorted":false,"formattedCitation":"(Kasim dkk., 2023)","plainCitation":"(Kasim dkk., 2023)","noteIndex":0},"citationItems":[{"id":3382,"uris":["http://zotero.org/users/local/OLR5BNKJ/items/GHZ62GMG"],"itemData":{"id":3382,"type":"article-journal","abstract":"Because marriage registration is complicated, some unregistered couples think marriage is enough with marriage contracts. This study covers Indonesia and Malaysia's laws on unrecorded weddings. Normative legal study. Unrecorded marriage deprived the woman and her children of legal protection for their rights to life, common property, inheritance, and identity (birth certificates and family cards). Indonesian law requires marriage registration, criminalizes unregistered marriage, and actively promotes it. Malaysia has (a) unregistered marriage is valid as long as it meets Islamic law; (b) unregistered marriage partners are sanctioned following Sharia Law; (c) unregistered marriage partners do not receive legal protection but can file claims based on equality and justice according to Islamic law; (d) marriage registration is not a legal requirement of marriage; and (e) government policies and programs to address unregistered marriage. This research improves Indonesian and Malaysian marriage registration and unregistered marriage issues.","container-title":"Karachi Islamicus","issue":"1","language":"en","source":"Zotero","title":"Comparative Study of Unregistered Marriage Practices and Marriage Registration to Indonesian Marriage Law and Malaysian Family Law","volume":"3","author":[{"family":"Kasim","given":"Nur Mohamad"},{"family":"Kamba","given":"Sri Nanang Meiske"},{"family":"Karim","given":"Fibriyanti"}],"issued":{"date-parts":[["2023"]]}}}],"schema":"https://github.com/citation-style-language/schema/raw/master/csl-citation.json"} </w:instrText>
      </w:r>
      <w:r w:rsidR="0008245E" w:rsidRPr="002363B4">
        <w:rPr>
          <w:rFonts w:ascii="Footlight MT Light" w:eastAsia="Gentium Basic" w:hAnsi="Footlight MT Light" w:cs="Gentium Basic"/>
          <w:sz w:val="24"/>
          <w:szCs w:val="24"/>
          <w:lang w:val="id-ID"/>
        </w:rPr>
        <w:fldChar w:fldCharType="separate"/>
      </w:r>
      <w:r w:rsidR="0008245E" w:rsidRPr="002363B4">
        <w:rPr>
          <w:rFonts w:ascii="Footlight MT Light" w:eastAsia="Gentium Basic" w:hAnsi="Footlight MT Light"/>
          <w:sz w:val="24"/>
          <w:szCs w:val="24"/>
        </w:rPr>
        <w:t>(Kasim dkk., 2023)</w:t>
      </w:r>
      <w:r w:rsidR="0008245E"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rPr>
        <w:t>. Dalam konteks perlindungan istri pertama, model ini lebih efektif karena negara memosisikan pelanggaran prosedural sebagai tindakan yang berdampak serius, bukan sekadar kekeliruan administratif. Hal ini berbeda dengan kondisi di Indonesia yang secara normatif sudah memuat syarat izin pengadilan, tetapi dalam praktik penegakan sanksinya belum sepenuhnya optimal.</w:t>
      </w:r>
    </w:p>
    <w:p w14:paraId="43F51451"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rPr>
        <w:t xml:space="preserve">Maroko juga memperlihatkan perkembangan yang signifikan melalui reformasi hukum keluarga yang dikenal dengan Mudawwanah al-Usrah. </w:t>
      </w:r>
      <w:r w:rsidRPr="002363B4">
        <w:rPr>
          <w:rFonts w:ascii="Footlight MT Light" w:eastAsia="Gentium Basic" w:hAnsi="Footlight MT Light" w:cs="Gentium Basic"/>
          <w:sz w:val="24"/>
          <w:szCs w:val="24"/>
          <w:lang w:val="pt-BR"/>
        </w:rPr>
        <w:t>Dalam sistem ini, pengadilan ditempatkan sebagai institusi sentral yang mengontrol praktik poligami secara ketat. Hakim memiliki kewenangan luas untuk menolak permohonan poligami apabila dinilai menimbulkan ketidakadilan atau berpotensi merugikan istri. Selain itu, istri diberikan hak yang lebih kuat untuk mengajukan perceraian dengan kompensasi apabila merasa dirugikan oleh tindakan poligami suami. Dengan demikian, perlindungan hukum tidak hanya bersifat mencegah sejak awal, tetapi juga menyediakan jalan pemulihan yang efektif ketika poligami tetap dilakukan dan menimbulkan kerugian</w:t>
      </w:r>
      <w:r w:rsidR="00832AAD" w:rsidRPr="002363B4">
        <w:rPr>
          <w:rFonts w:ascii="Footlight MT Light" w:eastAsia="Gentium Basic" w:hAnsi="Footlight MT Light" w:cs="Gentium Basic"/>
          <w:sz w:val="24"/>
          <w:szCs w:val="24"/>
          <w:lang w:val="id-ID"/>
        </w:rPr>
        <w:t xml:space="preserve"> </w:t>
      </w:r>
      <w:r w:rsidR="00832AAD" w:rsidRPr="002363B4">
        <w:rPr>
          <w:rFonts w:ascii="Footlight MT Light" w:eastAsia="Gentium Basic" w:hAnsi="Footlight MT Light" w:cs="Gentium Basic"/>
          <w:sz w:val="24"/>
          <w:szCs w:val="24"/>
          <w:lang w:val="id-ID"/>
        </w:rPr>
        <w:fldChar w:fldCharType="begin"/>
      </w:r>
      <w:r w:rsidR="00832AAD" w:rsidRPr="002363B4">
        <w:rPr>
          <w:rFonts w:ascii="Footlight MT Light" w:eastAsia="Gentium Basic" w:hAnsi="Footlight MT Light" w:cs="Gentium Basic"/>
          <w:sz w:val="24"/>
          <w:szCs w:val="24"/>
          <w:lang w:val="id-ID"/>
        </w:rPr>
        <w:instrText xml:space="preserve"> ADDIN ZOTERO_ITEM CSL_CITATION {"citationID":"mCy4jck4","properties":{"unsorted":false,"formattedCitation":"(Sa\\uc0\\u8217{}adah dkk., 2025)","plainCitation":"(Sa’adah dkk., 2025)","noteIndex":0},"citationItems":[{"id":3415,"uris":["http://zotero.org/users/local/OLR5BNKJ/items/RJ8XHMN9"],"itemData":{"id":3415,"type":"article-journal","container-title":"Indonesian Journal of Islamic Jurisprudence, Economic and Legal Theory","issue":"4","page":"3293–3305","source":"Google Scholar","title":"Studi Komparatif Hukum Perkawinan Poligami Di Indonesia Dan Di Beberapa Negara","volume":"3","author":[{"family":"Sa’adah","given":"Sa’adah"},{"family":"Muttaqin","given":"Zainal"},{"family":"Asvia","given":"Salwa Nur"}],"issued":{"date-parts":[["2025"]]}}}],"schema":"https://github.com/citation-style-language/schema/raw/master/csl-citation.json"} </w:instrText>
      </w:r>
      <w:r w:rsidR="00832AAD" w:rsidRPr="002363B4">
        <w:rPr>
          <w:rFonts w:ascii="Footlight MT Light" w:eastAsia="Gentium Basic" w:hAnsi="Footlight MT Light" w:cs="Gentium Basic"/>
          <w:sz w:val="24"/>
          <w:szCs w:val="24"/>
          <w:lang w:val="id-ID"/>
        </w:rPr>
        <w:fldChar w:fldCharType="separate"/>
      </w:r>
      <w:r w:rsidR="00832AAD" w:rsidRPr="002363B4">
        <w:rPr>
          <w:rFonts w:ascii="Footlight MT Light" w:hAnsi="Footlight MT Light"/>
          <w:sz w:val="24"/>
          <w:szCs w:val="24"/>
        </w:rPr>
        <w:t>(Sa’adah dkk., 2025)</w:t>
      </w:r>
      <w:r w:rsidR="00832AAD"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pt-BR"/>
        </w:rPr>
        <w:t>.</w:t>
      </w:r>
    </w:p>
    <w:p w14:paraId="2C1950B4"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Model Maroko penting karena menempatkan keadilan substantif sebagai tolok ukur utama dalam menilai poligami. Artinya, sekalipun alasan formal telah diajukan, hakim tetap dapat menolak jika menilai bahwa poligami bertentangan dengan prinsip keadilan keluarga. Pendekatan ini sejalan dengan semangat perlindungan terhadap perempuan karena menempatkan istri sebagai pihak yang harus dijaga hak-haknya, bukan sekadar pihak yang perlu dimintai persetujuan secara administratif. Dengan begitu, perlindungan terhadap istri pertama menjadi lebih menyeluruh karena tidak hanya bergantung pada kesediaan suami untuk patuh, tetapi juga pada kewenangan aktif hakim untuk mencegah terjadinya ketidakadilan.</w:t>
      </w:r>
    </w:p>
    <w:p w14:paraId="6239C4BB"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 xml:space="preserve">Berbeda dengan Indonesia, Malaysia, dan Maroko yang menekankan kontrol yudisial sebelum poligami dilakukan, Mesir cenderung menerapkan pendekatan ex post facto. Dalam pendekatan ini, poligami masih memungkinkan dilakukan tanpa izin pengadilan yang ketat sebelumnya, tetapi istri dapat menggugat cerai apabila poligami suami menimbulkan kerugian </w:t>
      </w:r>
      <w:r w:rsidRPr="002363B4">
        <w:rPr>
          <w:rFonts w:ascii="Footlight MT Light" w:eastAsia="Gentium Basic" w:hAnsi="Footlight MT Light" w:cs="Gentium Basic"/>
          <w:sz w:val="24"/>
          <w:szCs w:val="24"/>
          <w:lang w:val="pt-BR"/>
        </w:rPr>
        <w:lastRenderedPageBreak/>
        <w:t>atau ketidakadilan baginya. Dengan demikian, perlindungan hukum lebih banyak bertumpu pada reaksi setelah peristiwa terjadi, bukan pencegahan sejak awal. Model seperti ini memberikan ruang yang lebih besar kepada suami, tetapi sekaligus menuntut istri untuk aktif memperjuangkan haknya melalui mekanisme pengadilan ketika kerugian telah muncul</w:t>
      </w:r>
      <w:r w:rsidR="00832AAD" w:rsidRPr="002363B4">
        <w:rPr>
          <w:rFonts w:ascii="Footlight MT Light" w:eastAsia="Gentium Basic" w:hAnsi="Footlight MT Light" w:cs="Gentium Basic"/>
          <w:sz w:val="24"/>
          <w:szCs w:val="24"/>
          <w:lang w:val="id-ID"/>
        </w:rPr>
        <w:t xml:space="preserve"> </w:t>
      </w:r>
      <w:r w:rsidR="00832AAD" w:rsidRPr="002363B4">
        <w:rPr>
          <w:rFonts w:ascii="Footlight MT Light" w:eastAsia="Gentium Basic" w:hAnsi="Footlight MT Light" w:cs="Gentium Basic"/>
          <w:sz w:val="24"/>
          <w:szCs w:val="24"/>
          <w:lang w:val="id-ID"/>
        </w:rPr>
        <w:fldChar w:fldCharType="begin"/>
      </w:r>
      <w:r w:rsidR="00832AAD" w:rsidRPr="002363B4">
        <w:rPr>
          <w:rFonts w:ascii="Footlight MT Light" w:eastAsia="Gentium Basic" w:hAnsi="Footlight MT Light" w:cs="Gentium Basic"/>
          <w:sz w:val="24"/>
          <w:szCs w:val="24"/>
          <w:lang w:val="id-ID"/>
        </w:rPr>
        <w:instrText xml:space="preserve"> ADDIN ZOTERO_ITEM CSL_CITATION {"citationID":"vOrPaEKy","properties":{"unsorted":false,"formattedCitation":"(Sa\\uc0\\u8217{}adah dkk., 2025)","plainCitation":"(Sa’adah dkk., 2025)","noteIndex":0},"citationItems":[{"id":3415,"uris":["http://zotero.org/users/local/OLR5BNKJ/items/RJ8XHMN9"],"itemData":{"id":3415,"type":"article-journal","container-title":"Indonesian Journal of Islamic Jurisprudence, Economic and Legal Theory","issue":"4","page":"3293–3305","source":"Google Scholar","title":"Studi Komparatif Hukum Perkawinan Poligami Di Indonesia Dan Di Beberapa Negara","volume":"3","author":[{"family":"Sa’adah","given":"Sa’adah"},{"family":"Muttaqin","given":"Zainal"},{"family":"Asvia","given":"Salwa Nur"}],"issued":{"date-parts":[["2025"]]}}}],"schema":"https://github.com/citation-style-language/schema/raw/master/csl-citation.json"} </w:instrText>
      </w:r>
      <w:r w:rsidR="00832AAD" w:rsidRPr="002363B4">
        <w:rPr>
          <w:rFonts w:ascii="Footlight MT Light" w:eastAsia="Gentium Basic" w:hAnsi="Footlight MT Light" w:cs="Gentium Basic"/>
          <w:sz w:val="24"/>
          <w:szCs w:val="24"/>
          <w:lang w:val="id-ID"/>
        </w:rPr>
        <w:fldChar w:fldCharType="separate"/>
      </w:r>
      <w:r w:rsidR="00832AAD" w:rsidRPr="002363B4">
        <w:rPr>
          <w:rFonts w:ascii="Footlight MT Light" w:hAnsi="Footlight MT Light"/>
          <w:sz w:val="24"/>
          <w:szCs w:val="24"/>
        </w:rPr>
        <w:t>(Sa’adah dkk., 2025)</w:t>
      </w:r>
      <w:r w:rsidR="00832AAD"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pt-BR"/>
        </w:rPr>
        <w:t>.</w:t>
      </w:r>
    </w:p>
    <w:p w14:paraId="5D3D34BD"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lang w:val="en-US"/>
        </w:rPr>
      </w:pPr>
      <w:r w:rsidRPr="002363B4">
        <w:rPr>
          <w:rFonts w:ascii="Footlight MT Light" w:eastAsia="Gentium Basic" w:hAnsi="Footlight MT Light" w:cs="Gentium Basic"/>
          <w:sz w:val="24"/>
          <w:szCs w:val="24"/>
          <w:lang w:val="pt-BR"/>
        </w:rPr>
        <w:t xml:space="preserve">Perbedaan pendekatan Mesir menunjukkan bahwa perlindungan hukum yang berbasis ex post facto memiliki kelemahan tersendiri. Istri pertama sering kali sudah terlanjur mengalami kerugian ekonomi, sosial, dan psikologis sebelum dapat memperoleh pemulihan melalui pengadilan. </w:t>
      </w:r>
      <w:r w:rsidRPr="002363B4">
        <w:rPr>
          <w:rFonts w:ascii="Footlight MT Light" w:eastAsia="Gentium Basic" w:hAnsi="Footlight MT Light" w:cs="Gentium Basic"/>
          <w:sz w:val="24"/>
          <w:szCs w:val="24"/>
          <w:lang w:val="en-US"/>
        </w:rPr>
        <w:t xml:space="preserve">Karena </w:t>
      </w:r>
      <w:proofErr w:type="spellStart"/>
      <w:r w:rsidRPr="002363B4">
        <w:rPr>
          <w:rFonts w:ascii="Footlight MT Light" w:eastAsia="Gentium Basic" w:hAnsi="Footlight MT Light" w:cs="Gentium Basic"/>
          <w:sz w:val="24"/>
          <w:szCs w:val="24"/>
          <w:lang w:val="en-US"/>
        </w:rPr>
        <w:t>itu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meskipun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mekanisme</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gugatan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tetap</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penting</w:t>
      </w:r>
      <w:proofErr w:type="spellEnd"/>
      <w:r w:rsidRPr="002363B4">
        <w:rPr>
          <w:rFonts w:ascii="Footlight MT Light" w:eastAsia="Gentium Basic" w:hAnsi="Footlight MT Light" w:cs="Gentium Basic"/>
          <w:sz w:val="24"/>
          <w:szCs w:val="24"/>
          <w:lang w:val="en-US"/>
        </w:rPr>
        <w:t xml:space="preserve">, model </w:t>
      </w:r>
      <w:proofErr w:type="spellStart"/>
      <w:r w:rsidRPr="002363B4">
        <w:rPr>
          <w:rFonts w:ascii="Footlight MT Light" w:eastAsia="Gentium Basic" w:hAnsi="Footlight MT Light" w:cs="Gentium Basic"/>
          <w:sz w:val="24"/>
          <w:szCs w:val="24"/>
          <w:lang w:val="en-US"/>
        </w:rPr>
        <w:t>ini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kurang</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memberikan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perlindungan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preventif</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kuat</w:t>
      </w:r>
      <w:proofErr w:type="spellEnd"/>
      <w:r w:rsidRPr="002363B4">
        <w:rPr>
          <w:rFonts w:ascii="Footlight MT Light" w:eastAsia="Gentium Basic" w:hAnsi="Footlight MT Light" w:cs="Gentium Basic"/>
          <w:sz w:val="24"/>
          <w:szCs w:val="24"/>
          <w:lang w:val="en-US"/>
        </w:rPr>
        <w:t xml:space="preserve">. Bagi </w:t>
      </w:r>
      <w:proofErr w:type="spellStart"/>
      <w:r w:rsidRPr="002363B4">
        <w:rPr>
          <w:rFonts w:ascii="Footlight MT Light" w:eastAsia="Gentium Basic" w:hAnsi="Footlight MT Light" w:cs="Gentium Basic"/>
          <w:sz w:val="24"/>
          <w:szCs w:val="24"/>
          <w:lang w:val="en-US"/>
        </w:rPr>
        <w:t>istri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pertama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posisi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seperti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ini</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jauh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lebih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rentan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dibandingkan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sistem</w:t>
      </w:r>
      <w:proofErr w:type="spellEnd"/>
      <w:r w:rsidRPr="002363B4">
        <w:rPr>
          <w:rFonts w:ascii="Footlight MT Light" w:eastAsia="Gentium Basic" w:hAnsi="Footlight MT Light" w:cs="Gentium Basic"/>
          <w:sz w:val="24"/>
          <w:szCs w:val="24"/>
          <w:lang w:val="en-US"/>
        </w:rPr>
        <w:t xml:space="preserve"> yang </w:t>
      </w:r>
      <w:proofErr w:type="spellStart"/>
      <w:r w:rsidRPr="002363B4">
        <w:rPr>
          <w:rFonts w:ascii="Footlight MT Light" w:eastAsia="Gentium Basic" w:hAnsi="Footlight MT Light" w:cs="Gentium Basic"/>
          <w:sz w:val="24"/>
          <w:szCs w:val="24"/>
          <w:lang w:val="en-US"/>
        </w:rPr>
        <w:t>mewajibkan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izin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pengadilan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sejak</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awal</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karena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kerugian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baru</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dapat</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dipersoalkan</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setelah</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dampaknya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nyata</w:t>
      </w:r>
      <w:proofErr w:type="spellEnd"/>
      <w:r w:rsidRPr="002363B4">
        <w:rPr>
          <w:rFonts w:ascii="Footlight MT Light" w:eastAsia="Gentium Basic" w:hAnsi="Footlight MT Light" w:cs="Gentium Basic"/>
          <w:sz w:val="24"/>
          <w:szCs w:val="24"/>
          <w:lang w:val="en-US"/>
        </w:rPr>
        <w:t xml:space="preserve"> </w:t>
      </w:r>
      <w:proofErr w:type="spellStart"/>
      <w:r w:rsidRPr="002363B4">
        <w:rPr>
          <w:rFonts w:ascii="Footlight MT Light" w:eastAsia="Gentium Basic" w:hAnsi="Footlight MT Light" w:cs="Gentium Basic"/>
          <w:sz w:val="24"/>
          <w:szCs w:val="24"/>
          <w:lang w:val="en-US"/>
        </w:rPr>
        <w:t>terjadi</w:t>
      </w:r>
      <w:proofErr w:type="spellEnd"/>
      <w:r w:rsidRPr="002363B4">
        <w:rPr>
          <w:rFonts w:ascii="Footlight MT Light" w:eastAsia="Gentium Basic" w:hAnsi="Footlight MT Light" w:cs="Gentium Basic"/>
          <w:sz w:val="24"/>
          <w:szCs w:val="24"/>
          <w:lang w:val="en-US"/>
        </w:rPr>
        <w:t>.</w:t>
      </w:r>
    </w:p>
    <w:p w14:paraId="101D2BB4"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Sementara itu, Tunisia dan sejumlah negara Eropa seperti Prancis, Jerman, dan Belanda mengambil posisi yang lebih tegas dengan melarang poligami secara absolut. Larangan ini didasarkan pada pandangan bahwa poligami bertentangan dengan prinsip monogami modern, kesetaraan gender, dan perlindungan keluarga dalam sistem hukum kontemporer. Dalam model ini, poligami tidak dipandang sebagai isu perizinan, melainkan sebagai pelanggaran terhadap hukum publik. Akibatnya, fokus perlindungan hukum bergeser dari pengaturan teknis poligami ke pemenuhan hak-hak perempuan dan anak melalui mekanisme lain, seperti jaminan sosial, hukum waris, dan perlindungan anak</w:t>
      </w:r>
      <w:r w:rsidR="00832AAD" w:rsidRPr="002363B4">
        <w:rPr>
          <w:rFonts w:ascii="Footlight MT Light" w:eastAsia="Gentium Basic" w:hAnsi="Footlight MT Light" w:cs="Gentium Basic"/>
          <w:sz w:val="24"/>
          <w:szCs w:val="24"/>
          <w:lang w:val="id-ID"/>
        </w:rPr>
        <w:t xml:space="preserve"> </w:t>
      </w:r>
      <w:r w:rsidR="00832AAD" w:rsidRPr="002363B4">
        <w:rPr>
          <w:rFonts w:ascii="Footlight MT Light" w:eastAsia="Gentium Basic" w:hAnsi="Footlight MT Light" w:cs="Gentium Basic"/>
          <w:sz w:val="24"/>
          <w:szCs w:val="24"/>
          <w:lang w:val="id-ID"/>
        </w:rPr>
        <w:fldChar w:fldCharType="begin"/>
      </w:r>
      <w:r w:rsidR="00832AAD" w:rsidRPr="002363B4">
        <w:rPr>
          <w:rFonts w:ascii="Footlight MT Light" w:eastAsia="Gentium Basic" w:hAnsi="Footlight MT Light" w:cs="Gentium Basic"/>
          <w:sz w:val="24"/>
          <w:szCs w:val="24"/>
          <w:lang w:val="id-ID"/>
        </w:rPr>
        <w:instrText xml:space="preserve"> ADDIN ZOTERO_ITEM CSL_CITATION {"citationID":"ELtx1vpX","properties":{"unsorted":false,"formattedCitation":"(Sa\\uc0\\u8217{}adah dkk., 2025)","plainCitation":"(Sa’adah dkk., 2025)","noteIndex":0},"citationItems":[{"id":3415,"uris":["http://zotero.org/users/local/OLR5BNKJ/items/RJ8XHMN9"],"itemData":{"id":3415,"type":"article-journal","container-title":"Indonesian Journal of Islamic Jurisprudence, Economic and Legal Theory","issue":"4","page":"3293–3305","source":"Google Scholar","title":"Studi Komparatif Hukum Perkawinan Poligami Di Indonesia Dan Di Beberapa Negara","volume":"3","author":[{"family":"Sa’adah","given":"Sa’adah"},{"family":"Muttaqin","given":"Zainal"},{"family":"Asvia","given":"Salwa Nur"}],"issued":{"date-parts":[["2025"]]}}}],"schema":"https://github.com/citation-style-language/schema/raw/master/csl-citation.json"} </w:instrText>
      </w:r>
      <w:r w:rsidR="00832AAD" w:rsidRPr="002363B4">
        <w:rPr>
          <w:rFonts w:ascii="Footlight MT Light" w:eastAsia="Gentium Basic" w:hAnsi="Footlight MT Light" w:cs="Gentium Basic"/>
          <w:sz w:val="24"/>
          <w:szCs w:val="24"/>
          <w:lang w:val="id-ID"/>
        </w:rPr>
        <w:fldChar w:fldCharType="separate"/>
      </w:r>
      <w:r w:rsidR="00832AAD" w:rsidRPr="002363B4">
        <w:rPr>
          <w:rFonts w:ascii="Footlight MT Light" w:hAnsi="Footlight MT Light"/>
          <w:sz w:val="24"/>
          <w:szCs w:val="24"/>
        </w:rPr>
        <w:t>(Sa’adah dkk., 2025)</w:t>
      </w:r>
      <w:r w:rsidR="00832AAD" w:rsidRPr="002363B4">
        <w:rPr>
          <w:rFonts w:ascii="Footlight MT Light" w:eastAsia="Gentium Basic" w:hAnsi="Footlight MT Light" w:cs="Gentium Basic"/>
          <w:sz w:val="24"/>
          <w:szCs w:val="24"/>
          <w:lang w:val="id-ID"/>
        </w:rPr>
        <w:fldChar w:fldCharType="end"/>
      </w:r>
      <w:r w:rsidRPr="002363B4">
        <w:rPr>
          <w:rFonts w:ascii="Footlight MT Light" w:eastAsia="Gentium Basic" w:hAnsi="Footlight MT Light" w:cs="Gentium Basic"/>
          <w:sz w:val="24"/>
          <w:szCs w:val="24"/>
          <w:lang w:val="pt-BR"/>
        </w:rPr>
        <w:t>.</w:t>
      </w:r>
    </w:p>
    <w:p w14:paraId="4A22413A"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Larangan absolut seperti di Tunisia dan sejumlah negara Eropa memperlihatkan pilihan kebijakan hukum yang lebih radikal dibandingkan Indonesia. Negara-negara tersebut menilai bahwa risiko ketidakadilan akibat poligami terlalu besar untuk dibiarkan melalui mekanisme izin terbatas. Karena itu, perlindungan terhadap perempuan diwujudkan dengan menutup ruang poligami sepenuhnya. Meski pendekatan ini berbeda dengan konteks sosial-keagamaan Indonesia, model tersebut tetap relevan sebagai bahan perbandingan karena memperlihatkan bahwa perlindungan hukum yang lebih kuat dapat dibangun melalui keberanian negara dalam menetapkan batas-batas yang jelas terhadap praktik perkawinan.</w:t>
      </w:r>
    </w:p>
    <w:p w14:paraId="1F2D27B0" w14:textId="77777777" w:rsidR="003758C6" w:rsidRPr="002363B4" w:rsidRDefault="003758C6"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Dari perbandingan tersebut, terlihat bahwa efektivitas perlindungan hukum terhadap istri pertama sangat ditentukan oleh tiga faktor utama, yaitu ketegasan regulasi, kekuatan kontrol yudisial, dan konsistensi penegakan sanksi. Indonesia sebenarnya telah memiliki kerangka normatif yang cukup memadai karena mensyaratkan izin pengadilan dan persetujuan istri. Namun, kelemahan terletak pada pengawasan, pembuktian, dan penegakan sanksi, khususnya terhadap poligami siri dan pelanggaran prosedural. Jika dibandingkan dengan Malaysia dan Maroko, Indonesia masih perlu memperkuat fungsi pengadilan sebagai institusi protektif yang tidak hanya memeriksa formalitas, tetapi juga memastikan perlindungan substantif bagi istri pertama.</w:t>
      </w:r>
    </w:p>
    <w:p w14:paraId="225847B5" w14:textId="77777777" w:rsidR="008D776B" w:rsidRPr="002363B4" w:rsidRDefault="003758C6" w:rsidP="002363B4">
      <w:pPr>
        <w:spacing w:line="276" w:lineRule="auto"/>
        <w:ind w:firstLine="709"/>
        <w:jc w:val="both"/>
        <w:rPr>
          <w:rFonts w:ascii="Footlight MT Light" w:eastAsia="Gentium Basic" w:hAnsi="Footlight MT Light" w:cs="Gentium Basic"/>
          <w:sz w:val="24"/>
          <w:szCs w:val="24"/>
          <w:lang w:val="pt-BR"/>
        </w:rPr>
      </w:pPr>
      <w:r w:rsidRPr="002363B4">
        <w:rPr>
          <w:rFonts w:ascii="Footlight MT Light" w:eastAsia="Gentium Basic" w:hAnsi="Footlight MT Light" w:cs="Gentium Basic"/>
          <w:sz w:val="24"/>
          <w:szCs w:val="24"/>
          <w:lang w:val="pt-BR"/>
        </w:rPr>
        <w:t>Dengan demikian, pembelajaran dari negara lain menunjukkan bahwa penguatan perlindungan hukum tidak cukup dilakukan melalui norma tertulis, tetapi harus disertai mekanisme pengawasan yang efektif dan sanksi yang konsisten. Pengadilan Agama di Indonesia perlu diperkuat sebagai lembaga yang benar-benar mampu memverifikasi persetujuan istri, menilai alasan poligami secara substantif, dan menolak permohonan yang berpotensi melahirkan ketidakadilan. Pada saat yang sama, perlu ada keseriusan dalam menindak poligami tanpa izin, termasuk yang dilakukan secara siri, agar perlindungan hukum bagi istri pertama tidak berhenti pada tataran formal, tetapi benar-benar memberi efek perlindungan yang nyata</w:t>
      </w:r>
      <w:r w:rsidR="00B109B1" w:rsidRPr="002363B4">
        <w:rPr>
          <w:rFonts w:ascii="Footlight MT Light" w:eastAsia="Gentium Basic" w:hAnsi="Footlight MT Light" w:cs="Gentium Basic"/>
          <w:sz w:val="24"/>
          <w:szCs w:val="24"/>
        </w:rPr>
        <w:t>.</w:t>
      </w:r>
    </w:p>
    <w:p w14:paraId="00631A8C" w14:textId="77777777" w:rsidR="008D776B" w:rsidRPr="002363B4" w:rsidRDefault="00B109B1" w:rsidP="002363B4">
      <w:pPr>
        <w:spacing w:before="240" w:line="276" w:lineRule="auto"/>
        <w:jc w:val="both"/>
        <w:rPr>
          <w:rFonts w:ascii="Footlight MT Light" w:eastAsia="Gentium Basic" w:hAnsi="Footlight MT Light" w:cs="Gentium Basic"/>
          <w:b/>
          <w:sz w:val="24"/>
          <w:szCs w:val="24"/>
        </w:rPr>
      </w:pPr>
      <w:r w:rsidRPr="002363B4">
        <w:rPr>
          <w:rFonts w:ascii="Footlight MT Light" w:eastAsia="Gentium Basic" w:hAnsi="Footlight MT Light" w:cs="Gentium Basic"/>
          <w:b/>
          <w:sz w:val="24"/>
          <w:szCs w:val="24"/>
        </w:rPr>
        <w:t xml:space="preserve">KESIMPULAN DAN SARAN </w:t>
      </w:r>
    </w:p>
    <w:p w14:paraId="74FE1CD0" w14:textId="77777777" w:rsidR="008D776B" w:rsidRPr="002363B4" w:rsidRDefault="00B109B1" w:rsidP="002363B4">
      <w:pPr>
        <w:spacing w:line="276" w:lineRule="auto"/>
        <w:ind w:firstLine="709"/>
        <w:jc w:val="both"/>
        <w:rPr>
          <w:rFonts w:ascii="Footlight MT Light" w:eastAsia="Gentium Basic" w:hAnsi="Footlight MT Light" w:cs="Gentium Basic"/>
          <w:b/>
          <w:sz w:val="24"/>
          <w:szCs w:val="24"/>
          <w:lang w:val="id-ID"/>
        </w:rPr>
      </w:pPr>
      <w:r w:rsidRPr="002363B4">
        <w:rPr>
          <w:rFonts w:ascii="Footlight MT Light" w:eastAsia="Gentium Basic" w:hAnsi="Footlight MT Light" w:cs="Gentium Basic"/>
          <w:sz w:val="24"/>
          <w:szCs w:val="24"/>
        </w:rPr>
        <w:lastRenderedPageBreak/>
        <w:t>Penelitian ini menunjukkan bahwa kerangka hukum Indonesia, melalui Undang-Undang Perkawinan, Kompilasi Hukum Islam, dan peraturan pelaksana, pada dasarnya telah menyediakan instrumen perlindungan preventif dan represif bagi istri pertama dalam praktik poligami. Izin pengadilan, persetujuan istri pertama, pembuktian kemampuan ekonomi suami, dan kewajiban menjamin keadilan merupakan instrumen kunci yang dirancang untuk membatasi poligami dan melindungi hak-hak perempuan. Namun, maraknya poligami tanpa izin pengadilan, poligami siri, serta manipulasi prosedural menunjukkan bahwa perlindungan normatif tersebut belum efektif karena terkendala budaya patriarki, rendahnya kesadaran hukum, dan lemahnya penegakan sanksi. Perbandingan dengan Malaysia, Maroko, Mesir, dan negara-negara Eropa memperlihatkan bahwa efektivitas perlindungan hukum sangat ditentukan oleh ketegasan kontrol yudisial, kualitas verifikasi persetujuan istri, dan konsistensi penerapan sanksi terhadap pelanggaran prosedur poligami. Temuan ini menegaskan perlunya penguatan peran Pengadilan Agama sebagai institusi protektif yang responsif gender, khususnya dalam konteks praktik poligami tanpa izin di daerah seperti Kota Gorontalo.</w:t>
      </w:r>
      <w:r w:rsidR="002C7D65" w:rsidRPr="002363B4">
        <w:rPr>
          <w:rFonts w:ascii="Footlight MT Light" w:eastAsia="Gentium Basic" w:hAnsi="Footlight MT Light" w:cs="Gentium Basic"/>
          <w:sz w:val="24"/>
          <w:szCs w:val="24"/>
          <w:lang w:val="id-ID"/>
        </w:rPr>
        <w:t xml:space="preserve"> Saran dari penulis yang p</w:t>
      </w:r>
      <w:r w:rsidR="002C7D65" w:rsidRPr="002363B4">
        <w:rPr>
          <w:rFonts w:ascii="Footlight MT Light" w:eastAsia="Gentium Basic" w:hAnsi="Footlight MT Light" w:cs="Gentium Basic"/>
          <w:sz w:val="24"/>
          <w:szCs w:val="24"/>
        </w:rPr>
        <w:t>ertama, diperlukan penguatan mekanisme verifikasi persetujuan istri pertama dalam perkara izin poligami melalui pemeriksaan langsung di persidangan dan pembatasan penggunaan bukti tertulis yang rawan dipalsukan. Kedua, Mahkamah Agung dan otoritas terkait perlu meningkatkan kapasitas serta sensitivitas gender hakim dan aparatur Pengadilan Agama agar lebih peka terhadap kerentanan istri pertama dan dampak poligami tanpa izin pengadilan. Ketiga, pemerintah dan aparat penegak hukum perlu mengoptimalkan penerapan sanksi perdata dan pidana terhadap pelaksanaan poligami tanpa izin pengadilan dan poligami siri, sehingga menimbulkan efek jera dan memperkuat kepastian hukum. Keempat, diperlukan program peningkatan literasi hukum dan pemberdayaan ekonomi bagi perempuan agar istri pertama memiliki posisi tawar lebih baik dalam menghadapi rencana atau praktik poligami. Kelima, penelitian lanjutan dengan pendekatan socio</w:t>
      </w:r>
      <w:r w:rsidR="002C7D65" w:rsidRPr="002363B4">
        <w:rPr>
          <w:rFonts w:ascii="Footlight MT Light" w:eastAsia="Gentium Basic" w:hAnsi="Footlight MT Light" w:cs="Gentium Basic"/>
          <w:sz w:val="24"/>
          <w:szCs w:val="24"/>
        </w:rPr>
        <w:noBreakHyphen/>
        <w:t>legal di Pengadilan Agama, termasuk di Kota Gorontalo, penting dilakukan untuk memetakan pola putusan, praktik lapangan, dan hambatan struktural dalam perlindungan hukum bagi istri pertama</w:t>
      </w:r>
    </w:p>
    <w:p w14:paraId="3E711ACA" w14:textId="77777777" w:rsidR="008D776B" w:rsidRPr="002363B4" w:rsidRDefault="008C1D4F" w:rsidP="002363B4">
      <w:pPr>
        <w:spacing w:before="240" w:line="276" w:lineRule="auto"/>
        <w:jc w:val="both"/>
        <w:rPr>
          <w:rFonts w:ascii="Footlight MT Light" w:eastAsia="Gentium Basic" w:hAnsi="Footlight MT Light" w:cs="Gentium Basic"/>
          <w:b/>
          <w:sz w:val="24"/>
          <w:szCs w:val="24"/>
        </w:rPr>
      </w:pPr>
      <w:r w:rsidRPr="002363B4">
        <w:rPr>
          <w:rFonts w:ascii="Footlight MT Light" w:eastAsia="Gentium Basic" w:hAnsi="Footlight MT Light" w:cs="Gentium Basic"/>
          <w:b/>
          <w:sz w:val="24"/>
          <w:szCs w:val="24"/>
        </w:rPr>
        <w:t xml:space="preserve">DAFTAR PUSTAKA </w:t>
      </w:r>
    </w:p>
    <w:p w14:paraId="141D9978"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eastAsia="Gentium Basic" w:hAnsi="Footlight MT Light" w:cs="Gentium Basic"/>
          <w:sz w:val="24"/>
          <w:szCs w:val="24"/>
        </w:rPr>
        <w:fldChar w:fldCharType="begin"/>
      </w:r>
      <w:r w:rsidRPr="002363B4">
        <w:rPr>
          <w:rFonts w:ascii="Footlight MT Light" w:eastAsia="Gentium Basic" w:hAnsi="Footlight MT Light" w:cs="Gentium Basic"/>
          <w:sz w:val="24"/>
          <w:szCs w:val="24"/>
        </w:rPr>
        <w:instrText xml:space="preserve"> ADDIN ZOTERO_BIBL {"uncited":[],"omitted":[],"custom":[]} CSL_BIBLIOGRAPHY </w:instrText>
      </w:r>
      <w:r w:rsidRPr="002363B4">
        <w:rPr>
          <w:rFonts w:ascii="Footlight MT Light" w:eastAsia="Gentium Basic" w:hAnsi="Footlight MT Light" w:cs="Gentium Basic"/>
          <w:sz w:val="24"/>
          <w:szCs w:val="24"/>
        </w:rPr>
        <w:fldChar w:fldCharType="separate"/>
      </w:r>
      <w:r w:rsidRPr="002363B4">
        <w:rPr>
          <w:rFonts w:ascii="Footlight MT Light" w:hAnsi="Footlight MT Light"/>
          <w:sz w:val="24"/>
          <w:szCs w:val="24"/>
        </w:rPr>
        <w:t xml:space="preserve">Afifah, S. W., Setianto, M. J., &amp; Dantes, K. F. (2025). Analisis Yuridis Terhadap Penolakan Permohonan Izin Poligami Dalam Kasus Pernikahan Siri Oleh Pengadilan Agama Singaraja (Studi Putusan Nomor 85/Pdt. G/2024/PA. Sgr). </w:t>
      </w:r>
      <w:r w:rsidRPr="002363B4">
        <w:rPr>
          <w:rFonts w:ascii="Footlight MT Light" w:hAnsi="Footlight MT Light"/>
          <w:i/>
          <w:iCs/>
          <w:sz w:val="24"/>
          <w:szCs w:val="24"/>
        </w:rPr>
        <w:t>Jurnal Komunitas Yustisia</w:t>
      </w:r>
      <w:r w:rsidRPr="002363B4">
        <w:rPr>
          <w:rFonts w:ascii="Footlight MT Light" w:hAnsi="Footlight MT Light"/>
          <w:sz w:val="24"/>
          <w:szCs w:val="24"/>
        </w:rPr>
        <w:t xml:space="preserve">, </w:t>
      </w:r>
      <w:r w:rsidRPr="002363B4">
        <w:rPr>
          <w:rFonts w:ascii="Footlight MT Light" w:hAnsi="Footlight MT Light"/>
          <w:i/>
          <w:iCs/>
          <w:sz w:val="24"/>
          <w:szCs w:val="24"/>
        </w:rPr>
        <w:t>8</w:t>
      </w:r>
      <w:r w:rsidRPr="002363B4">
        <w:rPr>
          <w:rFonts w:ascii="Footlight MT Light" w:hAnsi="Footlight MT Light"/>
          <w:sz w:val="24"/>
          <w:szCs w:val="24"/>
        </w:rPr>
        <w:t>(3), 179–190.</w:t>
      </w:r>
    </w:p>
    <w:p w14:paraId="4E953B27"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Ali, Z. (2021). </w:t>
      </w:r>
      <w:r w:rsidRPr="002363B4">
        <w:rPr>
          <w:rFonts w:ascii="Footlight MT Light" w:hAnsi="Footlight MT Light"/>
          <w:i/>
          <w:iCs/>
          <w:sz w:val="24"/>
          <w:szCs w:val="24"/>
        </w:rPr>
        <w:t>Metode Penelitian Hukum</w:t>
      </w:r>
      <w:r w:rsidRPr="002363B4">
        <w:rPr>
          <w:rFonts w:ascii="Footlight MT Light" w:hAnsi="Footlight MT Light"/>
          <w:sz w:val="24"/>
          <w:szCs w:val="24"/>
        </w:rPr>
        <w:t>. Sinar Grafika.</w:t>
      </w:r>
    </w:p>
    <w:p w14:paraId="4E0B279A"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Andriyanto, M., &amp; Hidayah, M. F. M. (2025). Ketika Izin Pengadilan Diabaikan: Studi Tentang Konflik Poligami Antara Praktik Sosial Dan Norma Hukum Keluarga Islam. </w:t>
      </w:r>
      <w:r w:rsidRPr="002363B4">
        <w:rPr>
          <w:rFonts w:ascii="Footlight MT Light" w:hAnsi="Footlight MT Light"/>
          <w:i/>
          <w:iCs/>
          <w:sz w:val="24"/>
          <w:szCs w:val="24"/>
        </w:rPr>
        <w:t>Usrotuna: Journal of Islamic Family Law</w:t>
      </w:r>
      <w:r w:rsidRPr="002363B4">
        <w:rPr>
          <w:rFonts w:ascii="Footlight MT Light" w:hAnsi="Footlight MT Light"/>
          <w:sz w:val="24"/>
          <w:szCs w:val="24"/>
        </w:rPr>
        <w:t xml:space="preserve">, </w:t>
      </w:r>
      <w:r w:rsidRPr="002363B4">
        <w:rPr>
          <w:rFonts w:ascii="Footlight MT Light" w:hAnsi="Footlight MT Light"/>
          <w:i/>
          <w:iCs/>
          <w:sz w:val="24"/>
          <w:szCs w:val="24"/>
        </w:rPr>
        <w:t>2</w:t>
      </w:r>
      <w:r w:rsidRPr="002363B4">
        <w:rPr>
          <w:rFonts w:ascii="Footlight MT Light" w:hAnsi="Footlight MT Light"/>
          <w:sz w:val="24"/>
          <w:szCs w:val="24"/>
        </w:rPr>
        <w:t>(1), 32–45.</w:t>
      </w:r>
    </w:p>
    <w:p w14:paraId="1CFB1005"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Arif, A. F. (2021). Mekanisme Pembatalan Perkawinan dan Implikasinya Terhadap Hak Perempuan Atas Poligami Tanpa Izin di Indonesia. </w:t>
      </w:r>
      <w:r w:rsidRPr="002363B4">
        <w:rPr>
          <w:rFonts w:ascii="Footlight MT Light" w:hAnsi="Footlight MT Light"/>
          <w:i/>
          <w:iCs/>
          <w:sz w:val="24"/>
          <w:szCs w:val="24"/>
        </w:rPr>
        <w:t>MASADIR: Jurnal Hukum Islam</w:t>
      </w:r>
      <w:r w:rsidRPr="002363B4">
        <w:rPr>
          <w:rFonts w:ascii="Footlight MT Light" w:hAnsi="Footlight MT Light"/>
          <w:sz w:val="24"/>
          <w:szCs w:val="24"/>
        </w:rPr>
        <w:t xml:space="preserve">, </w:t>
      </w:r>
      <w:r w:rsidRPr="002363B4">
        <w:rPr>
          <w:rFonts w:ascii="Footlight MT Light" w:hAnsi="Footlight MT Light"/>
          <w:i/>
          <w:iCs/>
          <w:sz w:val="24"/>
          <w:szCs w:val="24"/>
        </w:rPr>
        <w:t>1</w:t>
      </w:r>
      <w:r w:rsidRPr="002363B4">
        <w:rPr>
          <w:rFonts w:ascii="Footlight MT Light" w:hAnsi="Footlight MT Light"/>
          <w:sz w:val="24"/>
          <w:szCs w:val="24"/>
        </w:rPr>
        <w:t>(1), 15–36.</w:t>
      </w:r>
    </w:p>
    <w:p w14:paraId="66A257D2"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Daharis, A., Pujiningsih, D., Raudhoh, H. S., &amp; Amili, H. (2025). Analisis Perbandingan Hukum Keluarga Islam dan Hukum Positif dalam Menyelesaikan Masalah Poligami. </w:t>
      </w:r>
      <w:r w:rsidRPr="002363B4">
        <w:rPr>
          <w:rFonts w:ascii="Footlight MT Light" w:hAnsi="Footlight MT Light"/>
          <w:i/>
          <w:iCs/>
          <w:sz w:val="24"/>
          <w:szCs w:val="24"/>
        </w:rPr>
        <w:t>Jurnal Kolaboratif Sains</w:t>
      </w:r>
      <w:r w:rsidRPr="002363B4">
        <w:rPr>
          <w:rFonts w:ascii="Footlight MT Light" w:hAnsi="Footlight MT Light"/>
          <w:sz w:val="24"/>
          <w:szCs w:val="24"/>
        </w:rPr>
        <w:t xml:space="preserve">, </w:t>
      </w:r>
      <w:r w:rsidRPr="002363B4">
        <w:rPr>
          <w:rFonts w:ascii="Footlight MT Light" w:hAnsi="Footlight MT Light"/>
          <w:i/>
          <w:iCs/>
          <w:sz w:val="24"/>
          <w:szCs w:val="24"/>
        </w:rPr>
        <w:t>8</w:t>
      </w:r>
      <w:r w:rsidRPr="002363B4">
        <w:rPr>
          <w:rFonts w:ascii="Footlight MT Light" w:hAnsi="Footlight MT Light"/>
          <w:sz w:val="24"/>
          <w:szCs w:val="24"/>
        </w:rPr>
        <w:t>(6), 3896–3904.</w:t>
      </w:r>
    </w:p>
    <w:p w14:paraId="7D10027B"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Daud, S. M., Kasim, N. M., &amp; Dungga, W. A. (2024). Integration of Local Wisdom in the Role of Village Heads as Mediators of Industrial Relations Disputes. </w:t>
      </w:r>
      <w:r w:rsidRPr="002363B4">
        <w:rPr>
          <w:rFonts w:ascii="Footlight MT Light" w:hAnsi="Footlight MT Light"/>
          <w:i/>
          <w:iCs/>
          <w:sz w:val="24"/>
          <w:szCs w:val="24"/>
        </w:rPr>
        <w:t>International Journal of Sociology and Law</w:t>
      </w:r>
      <w:r w:rsidRPr="002363B4">
        <w:rPr>
          <w:rFonts w:ascii="Footlight MT Light" w:hAnsi="Footlight MT Light"/>
          <w:sz w:val="24"/>
          <w:szCs w:val="24"/>
        </w:rPr>
        <w:t xml:space="preserve">, </w:t>
      </w:r>
      <w:r w:rsidRPr="002363B4">
        <w:rPr>
          <w:rFonts w:ascii="Footlight MT Light" w:hAnsi="Footlight MT Light"/>
          <w:i/>
          <w:iCs/>
          <w:sz w:val="24"/>
          <w:szCs w:val="24"/>
        </w:rPr>
        <w:t>1</w:t>
      </w:r>
      <w:r w:rsidRPr="002363B4">
        <w:rPr>
          <w:rFonts w:ascii="Footlight MT Light" w:hAnsi="Footlight MT Light"/>
          <w:sz w:val="24"/>
          <w:szCs w:val="24"/>
        </w:rPr>
        <w:t>(4), 254–264. https://doi.org/10.62951/ijsl.v1i4.202</w:t>
      </w:r>
    </w:p>
    <w:p w14:paraId="6A3C17CD"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Hakim, A., &amp; Aibak, K. (2021). POLIGAMI DI DUNIA ISLAM: Studi Perbandingan Hukum Perkawinan Arab Saudi, Pakistan Dan Indonesia. </w:t>
      </w:r>
      <w:r w:rsidRPr="002363B4">
        <w:rPr>
          <w:rFonts w:ascii="Footlight MT Light" w:hAnsi="Footlight MT Light"/>
          <w:i/>
          <w:iCs/>
          <w:sz w:val="24"/>
          <w:szCs w:val="24"/>
        </w:rPr>
        <w:t>Ahkam: Jurnal Hukum Islam</w:t>
      </w:r>
      <w:r w:rsidRPr="002363B4">
        <w:rPr>
          <w:rFonts w:ascii="Footlight MT Light" w:hAnsi="Footlight MT Light"/>
          <w:sz w:val="24"/>
          <w:szCs w:val="24"/>
        </w:rPr>
        <w:t xml:space="preserve">, </w:t>
      </w:r>
      <w:r w:rsidRPr="002363B4">
        <w:rPr>
          <w:rFonts w:ascii="Footlight MT Light" w:hAnsi="Footlight MT Light"/>
          <w:i/>
          <w:iCs/>
          <w:sz w:val="24"/>
          <w:szCs w:val="24"/>
        </w:rPr>
        <w:t>9</w:t>
      </w:r>
      <w:r w:rsidRPr="002363B4">
        <w:rPr>
          <w:rFonts w:ascii="Footlight MT Light" w:hAnsi="Footlight MT Light"/>
          <w:sz w:val="24"/>
          <w:szCs w:val="24"/>
        </w:rPr>
        <w:t>(1), 105–128.</w:t>
      </w:r>
    </w:p>
    <w:p w14:paraId="1E69FBB3"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lastRenderedPageBreak/>
        <w:t xml:space="preserve">Hayah, S. S. N., &amp; Anwar, S. (2026). Kriminalisasi Praktik Poligami Tanpa Izin Pengadilan dalam Perspektif Hukum Perkawinan Indonesia. </w:t>
      </w:r>
      <w:r w:rsidRPr="002363B4">
        <w:rPr>
          <w:rFonts w:ascii="Footlight MT Light" w:hAnsi="Footlight MT Light"/>
          <w:i/>
          <w:iCs/>
          <w:sz w:val="24"/>
          <w:szCs w:val="24"/>
        </w:rPr>
        <w:t>Al-Zayn: Jurnal Ilmu Sosial &amp; Hukum</w:t>
      </w:r>
      <w:r w:rsidRPr="002363B4">
        <w:rPr>
          <w:rFonts w:ascii="Footlight MT Light" w:hAnsi="Footlight MT Light"/>
          <w:sz w:val="24"/>
          <w:szCs w:val="24"/>
        </w:rPr>
        <w:t xml:space="preserve">, </w:t>
      </w:r>
      <w:r w:rsidRPr="002363B4">
        <w:rPr>
          <w:rFonts w:ascii="Footlight MT Light" w:hAnsi="Footlight MT Light"/>
          <w:i/>
          <w:iCs/>
          <w:sz w:val="24"/>
          <w:szCs w:val="24"/>
        </w:rPr>
        <w:t>4</w:t>
      </w:r>
      <w:r w:rsidRPr="002363B4">
        <w:rPr>
          <w:rFonts w:ascii="Footlight MT Light" w:hAnsi="Footlight MT Light"/>
          <w:sz w:val="24"/>
          <w:szCs w:val="24"/>
        </w:rPr>
        <w:t>(1), 3550–3561.</w:t>
      </w:r>
    </w:p>
    <w:p w14:paraId="62E9CEE7"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Irwansyah. (2020). </w:t>
      </w:r>
      <w:r w:rsidRPr="002363B4">
        <w:rPr>
          <w:rFonts w:ascii="Footlight MT Light" w:hAnsi="Footlight MT Light"/>
          <w:i/>
          <w:iCs/>
          <w:sz w:val="24"/>
          <w:szCs w:val="24"/>
        </w:rPr>
        <w:t>Penelitian Hukum: Pilihan Metode dan praktik penulisan Artikel</w:t>
      </w:r>
      <w:r w:rsidRPr="002363B4">
        <w:rPr>
          <w:rFonts w:ascii="Footlight MT Light" w:hAnsi="Footlight MT Light"/>
          <w:sz w:val="24"/>
          <w:szCs w:val="24"/>
        </w:rPr>
        <w:t>. Mirra Buana Media.</w:t>
      </w:r>
    </w:p>
    <w:p w14:paraId="3EB35BB2"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Iwan, I. (2023). Izin Istri Dalam Poligami; Sebuah Upaya Perlindungan Hukum Terhadap Perempuan. </w:t>
      </w:r>
      <w:r w:rsidRPr="002363B4">
        <w:rPr>
          <w:rFonts w:ascii="Footlight MT Light" w:hAnsi="Footlight MT Light"/>
          <w:i/>
          <w:iCs/>
          <w:sz w:val="24"/>
          <w:szCs w:val="24"/>
        </w:rPr>
        <w:t>At-Tazakki: Jurnal Kajian Ilmu Pendidikan Islam dan Humaniora</w:t>
      </w:r>
      <w:r w:rsidRPr="002363B4">
        <w:rPr>
          <w:rFonts w:ascii="Footlight MT Light" w:hAnsi="Footlight MT Light"/>
          <w:sz w:val="24"/>
          <w:szCs w:val="24"/>
        </w:rPr>
        <w:t xml:space="preserve">, </w:t>
      </w:r>
      <w:r w:rsidRPr="002363B4">
        <w:rPr>
          <w:rFonts w:ascii="Footlight MT Light" w:hAnsi="Footlight MT Light"/>
          <w:i/>
          <w:iCs/>
          <w:sz w:val="24"/>
          <w:szCs w:val="24"/>
        </w:rPr>
        <w:t>7</w:t>
      </w:r>
      <w:r w:rsidRPr="002363B4">
        <w:rPr>
          <w:rFonts w:ascii="Footlight MT Light" w:hAnsi="Footlight MT Light"/>
          <w:sz w:val="24"/>
          <w:szCs w:val="24"/>
        </w:rPr>
        <w:t>(1), 50–65.</w:t>
      </w:r>
    </w:p>
    <w:p w14:paraId="01D18519"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Kasim, N. M. (2020). The Implementation of Modest and Simple Principle to Mahr as a Contribution to the Indonesian Marriage Law. </w:t>
      </w:r>
      <w:r w:rsidRPr="002363B4">
        <w:rPr>
          <w:rFonts w:ascii="Footlight MT Light" w:hAnsi="Footlight MT Light"/>
          <w:i/>
          <w:iCs/>
          <w:sz w:val="24"/>
          <w:szCs w:val="24"/>
        </w:rPr>
        <w:t>Jurnal Hukum &amp; Pembangunan</w:t>
      </w:r>
      <w:r w:rsidRPr="002363B4">
        <w:rPr>
          <w:rFonts w:ascii="Footlight MT Light" w:hAnsi="Footlight MT Light"/>
          <w:sz w:val="24"/>
          <w:szCs w:val="24"/>
        </w:rPr>
        <w:t xml:space="preserve">, </w:t>
      </w:r>
      <w:r w:rsidRPr="002363B4">
        <w:rPr>
          <w:rFonts w:ascii="Footlight MT Light" w:hAnsi="Footlight MT Light"/>
          <w:i/>
          <w:iCs/>
          <w:sz w:val="24"/>
          <w:szCs w:val="24"/>
        </w:rPr>
        <w:t>50</w:t>
      </w:r>
      <w:r w:rsidRPr="002363B4">
        <w:rPr>
          <w:rFonts w:ascii="Footlight MT Light" w:hAnsi="Footlight MT Light"/>
          <w:sz w:val="24"/>
          <w:szCs w:val="24"/>
        </w:rPr>
        <w:t>(2), 540–548.</w:t>
      </w:r>
    </w:p>
    <w:p w14:paraId="5DEBC3DB"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Kasim, N. M., Kamba, S. N. M., &amp; Karim, F. (2023). Comparative Study of Unregistered Marriage Practices and Marriage Registration to Indonesian Marriage Law and Malaysian Family Law. </w:t>
      </w:r>
      <w:r w:rsidRPr="002363B4">
        <w:rPr>
          <w:rFonts w:ascii="Footlight MT Light" w:hAnsi="Footlight MT Light"/>
          <w:i/>
          <w:iCs/>
          <w:sz w:val="24"/>
          <w:szCs w:val="24"/>
        </w:rPr>
        <w:t>Karachi Islamicus</w:t>
      </w:r>
      <w:r w:rsidRPr="002363B4">
        <w:rPr>
          <w:rFonts w:ascii="Footlight MT Light" w:hAnsi="Footlight MT Light"/>
          <w:sz w:val="24"/>
          <w:szCs w:val="24"/>
        </w:rPr>
        <w:t xml:space="preserve">, </w:t>
      </w:r>
      <w:r w:rsidRPr="002363B4">
        <w:rPr>
          <w:rFonts w:ascii="Footlight MT Light" w:hAnsi="Footlight MT Light"/>
          <w:i/>
          <w:iCs/>
          <w:sz w:val="24"/>
          <w:szCs w:val="24"/>
        </w:rPr>
        <w:t>3</w:t>
      </w:r>
      <w:r w:rsidRPr="002363B4">
        <w:rPr>
          <w:rFonts w:ascii="Footlight MT Light" w:hAnsi="Footlight MT Light"/>
          <w:sz w:val="24"/>
          <w:szCs w:val="24"/>
        </w:rPr>
        <w:t>(1).</w:t>
      </w:r>
    </w:p>
    <w:p w14:paraId="38C5961B"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Mansari, M., Fatahillah, Z., &amp; Sahara, S. (2023). Pengesampingan Syarat Alternatif Poligami Sebagai Dasar Mengabulkan Permohonan. </w:t>
      </w:r>
      <w:r w:rsidRPr="002363B4">
        <w:rPr>
          <w:rFonts w:ascii="Footlight MT Light" w:hAnsi="Footlight MT Light"/>
          <w:i/>
          <w:iCs/>
          <w:sz w:val="24"/>
          <w:szCs w:val="24"/>
        </w:rPr>
        <w:t>Jurnal Yudisial</w:t>
      </w:r>
      <w:r w:rsidRPr="002363B4">
        <w:rPr>
          <w:rFonts w:ascii="Footlight MT Light" w:hAnsi="Footlight MT Light"/>
          <w:sz w:val="24"/>
          <w:szCs w:val="24"/>
        </w:rPr>
        <w:t xml:space="preserve">, </w:t>
      </w:r>
      <w:r w:rsidRPr="002363B4">
        <w:rPr>
          <w:rFonts w:ascii="Footlight MT Light" w:hAnsi="Footlight MT Light"/>
          <w:i/>
          <w:iCs/>
          <w:sz w:val="24"/>
          <w:szCs w:val="24"/>
        </w:rPr>
        <w:t>16</w:t>
      </w:r>
      <w:r w:rsidRPr="002363B4">
        <w:rPr>
          <w:rFonts w:ascii="Footlight MT Light" w:hAnsi="Footlight MT Light"/>
          <w:sz w:val="24"/>
          <w:szCs w:val="24"/>
        </w:rPr>
        <w:t>(3), 361–379.</w:t>
      </w:r>
    </w:p>
    <w:p w14:paraId="0F1C69B8"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Marlina, S., Saleh, S., Efendi, I., Ramadhani, M., &amp; Saputra, K. D. (2024). Perbandingan Hukum Poligami Di Indonesia Dan Malaysia. </w:t>
      </w:r>
      <w:r w:rsidRPr="002363B4">
        <w:rPr>
          <w:rFonts w:ascii="Footlight MT Light" w:hAnsi="Footlight MT Light"/>
          <w:i/>
          <w:iCs/>
          <w:sz w:val="24"/>
          <w:szCs w:val="24"/>
        </w:rPr>
        <w:t>Jurnal Inovasi Hukum dan Kebijakan</w:t>
      </w:r>
      <w:r w:rsidRPr="002363B4">
        <w:rPr>
          <w:rFonts w:ascii="Footlight MT Light" w:hAnsi="Footlight MT Light"/>
          <w:sz w:val="24"/>
          <w:szCs w:val="24"/>
        </w:rPr>
        <w:t xml:space="preserve">, </w:t>
      </w:r>
      <w:r w:rsidRPr="002363B4">
        <w:rPr>
          <w:rFonts w:ascii="Footlight MT Light" w:hAnsi="Footlight MT Light"/>
          <w:i/>
          <w:iCs/>
          <w:sz w:val="24"/>
          <w:szCs w:val="24"/>
        </w:rPr>
        <w:t>5</w:t>
      </w:r>
      <w:r w:rsidRPr="002363B4">
        <w:rPr>
          <w:rFonts w:ascii="Footlight MT Light" w:hAnsi="Footlight MT Light"/>
          <w:sz w:val="24"/>
          <w:szCs w:val="24"/>
        </w:rPr>
        <w:t>(4). https://ejurnals.com/ojs/index.php/jihk/article/view/399</w:t>
      </w:r>
    </w:p>
    <w:p w14:paraId="50107E80"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Muthalib, S. A. (2022). Pengesahan Isbat Nikah Perkawinan Poligami: Kajian Putusan Nomor 130/Pdt. G/2020/Ms. Bna. </w:t>
      </w:r>
      <w:r w:rsidRPr="002363B4">
        <w:rPr>
          <w:rFonts w:ascii="Footlight MT Light" w:hAnsi="Footlight MT Light"/>
          <w:i/>
          <w:iCs/>
          <w:sz w:val="24"/>
          <w:szCs w:val="24"/>
        </w:rPr>
        <w:t>El-Usrah: Jurnal Hukum Keluarga</w:t>
      </w:r>
      <w:r w:rsidRPr="002363B4">
        <w:rPr>
          <w:rFonts w:ascii="Footlight MT Light" w:hAnsi="Footlight MT Light"/>
          <w:sz w:val="24"/>
          <w:szCs w:val="24"/>
        </w:rPr>
        <w:t xml:space="preserve">, </w:t>
      </w:r>
      <w:r w:rsidRPr="002363B4">
        <w:rPr>
          <w:rFonts w:ascii="Footlight MT Light" w:hAnsi="Footlight MT Light"/>
          <w:i/>
          <w:iCs/>
          <w:sz w:val="24"/>
          <w:szCs w:val="24"/>
        </w:rPr>
        <w:t>5</w:t>
      </w:r>
      <w:r w:rsidRPr="002363B4">
        <w:rPr>
          <w:rFonts w:ascii="Footlight MT Light" w:hAnsi="Footlight MT Light"/>
          <w:sz w:val="24"/>
          <w:szCs w:val="24"/>
        </w:rPr>
        <w:t>(2), 224–238.</w:t>
      </w:r>
    </w:p>
    <w:p w14:paraId="23D1D95B"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Nadia, N. (2025). Perlindungan Hukum terhadap Hak Anak Akibat Permohonan Itsbat Nikah yang tidak dapat Diterima dalam Praktik Poligami Sirri (Studi Kasus Putusan Nomor 638/PDT. G/2020/PA. GSG). </w:t>
      </w:r>
      <w:r w:rsidRPr="002363B4">
        <w:rPr>
          <w:rFonts w:ascii="Footlight MT Light" w:hAnsi="Footlight MT Light"/>
          <w:i/>
          <w:iCs/>
          <w:sz w:val="24"/>
          <w:szCs w:val="24"/>
        </w:rPr>
        <w:t>Arus Jurnal Sosial dan Humaniora</w:t>
      </w:r>
      <w:r w:rsidRPr="002363B4">
        <w:rPr>
          <w:rFonts w:ascii="Footlight MT Light" w:hAnsi="Footlight MT Light"/>
          <w:sz w:val="24"/>
          <w:szCs w:val="24"/>
        </w:rPr>
        <w:t xml:space="preserve">, </w:t>
      </w:r>
      <w:r w:rsidRPr="002363B4">
        <w:rPr>
          <w:rFonts w:ascii="Footlight MT Light" w:hAnsi="Footlight MT Light"/>
          <w:i/>
          <w:iCs/>
          <w:sz w:val="24"/>
          <w:szCs w:val="24"/>
        </w:rPr>
        <w:t>5</w:t>
      </w:r>
      <w:r w:rsidRPr="002363B4">
        <w:rPr>
          <w:rFonts w:ascii="Footlight MT Light" w:hAnsi="Footlight MT Light"/>
          <w:sz w:val="24"/>
          <w:szCs w:val="24"/>
        </w:rPr>
        <w:t>(2), 3027–3035.</w:t>
      </w:r>
    </w:p>
    <w:p w14:paraId="448C3E44"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Nugraha, A., &amp; Akbar, A. (2025). Analisis Pertimbangan Hakim di Pengadilan Agama Mungkid Terkait Tidak Diterimanya Izin Poligami yang Terpenuhinya Syarat Kumulatif (No. 296/Pdt. G/2021/PA. Mkd): Analysis of Judges’ Considerations at the Mungkid Religious Court Regarding the Non-Acceptance of Polygamy Permits That Meet the Cumulative Requirements (No. 296/Pdt. G/2021/PA. Mkd). </w:t>
      </w:r>
      <w:r w:rsidRPr="002363B4">
        <w:rPr>
          <w:rFonts w:ascii="Footlight MT Light" w:hAnsi="Footlight MT Light"/>
          <w:i/>
          <w:iCs/>
          <w:sz w:val="24"/>
          <w:szCs w:val="24"/>
        </w:rPr>
        <w:t>BUSTANUL FUQAHA: Jurnal Bidang Hukum Islam</w:t>
      </w:r>
      <w:r w:rsidRPr="002363B4">
        <w:rPr>
          <w:rFonts w:ascii="Footlight MT Light" w:hAnsi="Footlight MT Light"/>
          <w:sz w:val="24"/>
          <w:szCs w:val="24"/>
        </w:rPr>
        <w:t xml:space="preserve">, </w:t>
      </w:r>
      <w:r w:rsidRPr="002363B4">
        <w:rPr>
          <w:rFonts w:ascii="Footlight MT Light" w:hAnsi="Footlight MT Light"/>
          <w:i/>
          <w:iCs/>
          <w:sz w:val="24"/>
          <w:szCs w:val="24"/>
        </w:rPr>
        <w:t>6</w:t>
      </w:r>
      <w:r w:rsidRPr="002363B4">
        <w:rPr>
          <w:rFonts w:ascii="Footlight MT Light" w:hAnsi="Footlight MT Light"/>
          <w:sz w:val="24"/>
          <w:szCs w:val="24"/>
        </w:rPr>
        <w:t>(1), 208–223.</w:t>
      </w:r>
    </w:p>
    <w:p w14:paraId="533D981C"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Nuur’ainii, N. Y. K., Lengkong, I., Lenatia, L., &amp; Alvarindo, A. (2026). Analisis Pertimbangan Hukum Hakim dalam Perkara Izin Poligami (Studi Putusan Pengadilan Agama Makassar Nomor 2107/Pdt. G/2025/PA. Mks). </w:t>
      </w:r>
      <w:r w:rsidRPr="002363B4">
        <w:rPr>
          <w:rFonts w:ascii="Footlight MT Light" w:hAnsi="Footlight MT Light"/>
          <w:i/>
          <w:iCs/>
          <w:sz w:val="24"/>
          <w:szCs w:val="24"/>
        </w:rPr>
        <w:t>Policies On Regulatory Reform Law Journal</w:t>
      </w:r>
      <w:r w:rsidRPr="002363B4">
        <w:rPr>
          <w:rFonts w:ascii="Footlight MT Light" w:hAnsi="Footlight MT Light"/>
          <w:sz w:val="24"/>
          <w:szCs w:val="24"/>
        </w:rPr>
        <w:t xml:space="preserve">, </w:t>
      </w:r>
      <w:r w:rsidRPr="002363B4">
        <w:rPr>
          <w:rFonts w:ascii="Footlight MT Light" w:hAnsi="Footlight MT Light"/>
          <w:i/>
          <w:iCs/>
          <w:sz w:val="24"/>
          <w:szCs w:val="24"/>
        </w:rPr>
        <w:t>2</w:t>
      </w:r>
      <w:r w:rsidRPr="002363B4">
        <w:rPr>
          <w:rFonts w:ascii="Footlight MT Light" w:hAnsi="Footlight MT Light"/>
          <w:sz w:val="24"/>
          <w:szCs w:val="24"/>
        </w:rPr>
        <w:t>(1), 49–57.</w:t>
      </w:r>
    </w:p>
    <w:p w14:paraId="7D01491A"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Sa’adah, S., Muttaqin, Z., &amp; Asvia, S. N. (2025). Studi Komparatif Hukum Perkawinan Poligami Di Indonesia Dan Di Beberapa Negara. </w:t>
      </w:r>
      <w:r w:rsidRPr="002363B4">
        <w:rPr>
          <w:rFonts w:ascii="Footlight MT Light" w:hAnsi="Footlight MT Light"/>
          <w:i/>
          <w:iCs/>
          <w:sz w:val="24"/>
          <w:szCs w:val="24"/>
        </w:rPr>
        <w:t>Indonesian Journal of Islamic Jurisprudence, Economic and Legal Theory</w:t>
      </w:r>
      <w:r w:rsidRPr="002363B4">
        <w:rPr>
          <w:rFonts w:ascii="Footlight MT Light" w:hAnsi="Footlight MT Light"/>
          <w:sz w:val="24"/>
          <w:szCs w:val="24"/>
        </w:rPr>
        <w:t xml:space="preserve">, </w:t>
      </w:r>
      <w:r w:rsidRPr="002363B4">
        <w:rPr>
          <w:rFonts w:ascii="Footlight MT Light" w:hAnsi="Footlight MT Light"/>
          <w:i/>
          <w:iCs/>
          <w:sz w:val="24"/>
          <w:szCs w:val="24"/>
        </w:rPr>
        <w:t>3</w:t>
      </w:r>
      <w:r w:rsidRPr="002363B4">
        <w:rPr>
          <w:rFonts w:ascii="Footlight MT Light" w:hAnsi="Footlight MT Light"/>
          <w:sz w:val="24"/>
          <w:szCs w:val="24"/>
        </w:rPr>
        <w:t>(4), 3293–3305.</w:t>
      </w:r>
    </w:p>
    <w:p w14:paraId="355E6FF8"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Yusdika, S. H. (2024). Analisis prespektif hukum terhadap permohonan pengesahan nikah poligami sirri. </w:t>
      </w:r>
      <w:r w:rsidRPr="002363B4">
        <w:rPr>
          <w:rFonts w:ascii="Footlight MT Light" w:hAnsi="Footlight MT Light"/>
          <w:i/>
          <w:iCs/>
          <w:sz w:val="24"/>
          <w:szCs w:val="24"/>
        </w:rPr>
        <w:t>Hakim: Jurnal Ilmu Hukum Dan Sosial</w:t>
      </w:r>
      <w:r w:rsidRPr="002363B4">
        <w:rPr>
          <w:rFonts w:ascii="Footlight MT Light" w:hAnsi="Footlight MT Light"/>
          <w:sz w:val="24"/>
          <w:szCs w:val="24"/>
        </w:rPr>
        <w:t xml:space="preserve">, </w:t>
      </w:r>
      <w:r w:rsidRPr="002363B4">
        <w:rPr>
          <w:rFonts w:ascii="Footlight MT Light" w:hAnsi="Footlight MT Light"/>
          <w:i/>
          <w:iCs/>
          <w:sz w:val="24"/>
          <w:szCs w:val="24"/>
        </w:rPr>
        <w:t>2</w:t>
      </w:r>
      <w:r w:rsidRPr="002363B4">
        <w:rPr>
          <w:rFonts w:ascii="Footlight MT Light" w:hAnsi="Footlight MT Light"/>
          <w:sz w:val="24"/>
          <w:szCs w:val="24"/>
        </w:rPr>
        <w:t>(2), 24–34.</w:t>
      </w:r>
    </w:p>
    <w:p w14:paraId="02FA4AF3" w14:textId="77777777" w:rsidR="00832AAD" w:rsidRPr="002363B4" w:rsidRDefault="00832AAD" w:rsidP="002363B4">
      <w:pPr>
        <w:pStyle w:val="Bibliography"/>
        <w:spacing w:line="276" w:lineRule="auto"/>
        <w:ind w:left="709" w:hanging="709"/>
        <w:jc w:val="both"/>
        <w:rPr>
          <w:rFonts w:ascii="Footlight MT Light" w:hAnsi="Footlight MT Light"/>
          <w:sz w:val="24"/>
          <w:szCs w:val="24"/>
        </w:rPr>
      </w:pPr>
      <w:r w:rsidRPr="002363B4">
        <w:rPr>
          <w:rFonts w:ascii="Footlight MT Light" w:hAnsi="Footlight MT Light"/>
          <w:sz w:val="24"/>
          <w:szCs w:val="24"/>
        </w:rPr>
        <w:t xml:space="preserve">Zami, M. K. Z., &amp; Bahtiar, M. R. S. (2025). Perbandingan Perlindungan Hukum antara Indonesia dengan Malaysia terhadap Hak-Hak Istri dalam Pernikahan Poligami: Perspektif Hukum Keluarga Islam dan Hak Asasi Manusia. </w:t>
      </w:r>
      <w:r w:rsidRPr="002363B4">
        <w:rPr>
          <w:rFonts w:ascii="Footlight MT Light" w:hAnsi="Footlight MT Light"/>
          <w:i/>
          <w:iCs/>
          <w:sz w:val="24"/>
          <w:szCs w:val="24"/>
        </w:rPr>
        <w:t>Fikroh</w:t>
      </w:r>
      <w:r w:rsidRPr="002363B4">
        <w:rPr>
          <w:rFonts w:ascii="Footlight MT Light" w:hAnsi="Footlight MT Light"/>
          <w:sz w:val="24"/>
          <w:szCs w:val="24"/>
        </w:rPr>
        <w:t xml:space="preserve">, </w:t>
      </w:r>
      <w:r w:rsidRPr="002363B4">
        <w:rPr>
          <w:rFonts w:ascii="Footlight MT Light" w:hAnsi="Footlight MT Light"/>
          <w:i/>
          <w:iCs/>
          <w:sz w:val="24"/>
          <w:szCs w:val="24"/>
        </w:rPr>
        <w:t>9</w:t>
      </w:r>
      <w:r w:rsidRPr="002363B4">
        <w:rPr>
          <w:rFonts w:ascii="Footlight MT Light" w:hAnsi="Footlight MT Light"/>
          <w:sz w:val="24"/>
          <w:szCs w:val="24"/>
        </w:rPr>
        <w:t>(2), 190–202.</w:t>
      </w:r>
    </w:p>
    <w:p w14:paraId="5719F530" w14:textId="77777777" w:rsidR="008D776B" w:rsidRPr="002363B4" w:rsidRDefault="00832AAD" w:rsidP="002363B4">
      <w:pPr>
        <w:spacing w:line="276" w:lineRule="auto"/>
        <w:ind w:left="709" w:hanging="709"/>
        <w:jc w:val="both"/>
        <w:rPr>
          <w:rFonts w:ascii="Footlight MT Light" w:eastAsia="Gentium Basic" w:hAnsi="Footlight MT Light" w:cs="Gentium Basic"/>
          <w:color w:val="000000"/>
          <w:sz w:val="24"/>
          <w:szCs w:val="24"/>
        </w:rPr>
      </w:pPr>
      <w:r w:rsidRPr="002363B4">
        <w:rPr>
          <w:rFonts w:ascii="Footlight MT Light" w:eastAsia="Gentium Basic" w:hAnsi="Footlight MT Light" w:cs="Gentium Basic"/>
          <w:sz w:val="24"/>
          <w:szCs w:val="24"/>
        </w:rPr>
        <w:fldChar w:fldCharType="end"/>
      </w:r>
      <w:r w:rsidR="008C1D4F" w:rsidRPr="002363B4">
        <w:rPr>
          <w:rFonts w:ascii="Footlight MT Light" w:eastAsia="Gentium Basic" w:hAnsi="Footlight MT Light" w:cs="Gentium Basic"/>
          <w:sz w:val="24"/>
          <w:szCs w:val="24"/>
        </w:rPr>
        <w:t xml:space="preserve"> </w:t>
      </w:r>
    </w:p>
    <w:sectPr w:rsidR="008D776B" w:rsidRPr="002363B4" w:rsidSect="006E1388">
      <w:headerReference w:type="default" r:id="rId12"/>
      <w:footerReference w:type="default" r:id="rId13"/>
      <w:footerReference w:type="first" r:id="rId14"/>
      <w:type w:val="continuous"/>
      <w:pgSz w:w="11906" w:h="16838"/>
      <w:pgMar w:top="1418" w:right="1134" w:bottom="1418" w:left="1134" w:header="0" w:footer="375" w:gutter="0"/>
      <w:pgNumType w:start="4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4768" w14:textId="77777777" w:rsidR="002C4BFD" w:rsidRDefault="002C4BFD">
      <w:r>
        <w:separator/>
      </w:r>
    </w:p>
  </w:endnote>
  <w:endnote w:type="continuationSeparator" w:id="0">
    <w:p w14:paraId="0122040E" w14:textId="77777777" w:rsidR="002C4BFD" w:rsidRDefault="002C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AA1D" w14:textId="77777777" w:rsidR="008D776B" w:rsidRDefault="008D776B">
    <w:pPr>
      <w:pBdr>
        <w:top w:val="nil"/>
        <w:left w:val="nil"/>
        <w:bottom w:val="nil"/>
        <w:right w:val="nil"/>
        <w:between w:val="nil"/>
      </w:pBdr>
      <w:tabs>
        <w:tab w:val="center" w:pos="4680"/>
        <w:tab w:val="right" w:pos="9360"/>
      </w:tabs>
      <w:rPr>
        <w:rFonts w:ascii="Gentium Basic" w:eastAsia="Gentium Basic" w:hAnsi="Gentium Basic" w:cs="Gentium Basic"/>
        <w:color w:val="000000"/>
      </w:rPr>
    </w:pPr>
  </w:p>
  <w:tbl>
    <w:tblPr>
      <w:tblStyle w:val="a3"/>
      <w:tblW w:w="9642" w:type="dxa"/>
      <w:tblInd w:w="-115" w:type="dxa"/>
      <w:tblBorders>
        <w:top w:val="single" w:sz="8" w:space="0" w:color="000000"/>
      </w:tblBorders>
      <w:tblLayout w:type="fixed"/>
      <w:tblLook w:val="0000" w:firstRow="0" w:lastRow="0" w:firstColumn="0" w:lastColumn="0" w:noHBand="0" w:noVBand="0"/>
    </w:tblPr>
    <w:tblGrid>
      <w:gridCol w:w="8890"/>
      <w:gridCol w:w="264"/>
      <w:gridCol w:w="488"/>
    </w:tblGrid>
    <w:tr w:rsidR="008D776B" w14:paraId="00326F14" w14:textId="77777777">
      <w:trPr>
        <w:trHeight w:val="247"/>
      </w:trPr>
      <w:tc>
        <w:tcPr>
          <w:tcW w:w="8890" w:type="dxa"/>
          <w:vAlign w:val="center"/>
        </w:tcPr>
        <w:p w14:paraId="779DD6A0" w14:textId="13395CBC" w:rsidR="008D776B" w:rsidRDefault="002363B4">
          <w:pPr>
            <w:tabs>
              <w:tab w:val="center" w:pos="4680"/>
              <w:tab w:val="right" w:pos="9360"/>
            </w:tabs>
            <w:ind w:right="-188"/>
            <w:rPr>
              <w:rFonts w:ascii="Gentium Basic" w:eastAsia="Gentium Basic" w:hAnsi="Gentium Basic" w:cs="Gentium Basic"/>
              <w:b/>
              <w:i/>
              <w:color w:val="000000"/>
              <w:sz w:val="18"/>
              <w:szCs w:val="18"/>
            </w:rPr>
          </w:pPr>
          <w:r w:rsidRPr="002363B4">
            <w:rPr>
              <w:rFonts w:ascii="Gentium Basic" w:eastAsia="Gentium Basic" w:hAnsi="Gentium Basic" w:cs="Gentium Basic"/>
              <w:i/>
              <w:color w:val="000000"/>
            </w:rPr>
            <w:t>Penguatan Perlindungan Hukum Istri Pertama dalam Poligami Tanpa Izin Pengadilan</w:t>
          </w:r>
          <w:r w:rsidR="008C1D4F">
            <w:rPr>
              <w:rFonts w:ascii="Gentium Basic" w:eastAsia="Gentium Basic" w:hAnsi="Gentium Basic" w:cs="Gentium Basic"/>
              <w:i/>
              <w:color w:val="000000"/>
            </w:rPr>
            <w:t>…</w:t>
          </w:r>
        </w:p>
      </w:tc>
      <w:tc>
        <w:tcPr>
          <w:tcW w:w="264" w:type="dxa"/>
          <w:vAlign w:val="center"/>
        </w:tcPr>
        <w:p w14:paraId="7D3FB763" w14:textId="77777777" w:rsidR="008D776B" w:rsidRDefault="008C1D4F">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w:t>
          </w:r>
        </w:p>
      </w:tc>
      <w:tc>
        <w:tcPr>
          <w:tcW w:w="488" w:type="dxa"/>
          <w:vAlign w:val="center"/>
        </w:tcPr>
        <w:p w14:paraId="106B51EB" w14:textId="77777777" w:rsidR="008D776B" w:rsidRDefault="008C1D4F">
          <w:pPr>
            <w:tabs>
              <w:tab w:val="center" w:pos="4680"/>
              <w:tab w:val="right" w:pos="9360"/>
            </w:tabs>
            <w:ind w:left="-142" w:right="-188"/>
            <w:rPr>
              <w:rFonts w:ascii="Lustria" w:eastAsia="Lustria" w:hAnsi="Lustria" w:cs="Lustria"/>
              <w:color w:val="000000"/>
              <w:sz w:val="18"/>
              <w:szCs w:val="18"/>
            </w:rPr>
          </w:pPr>
          <w:r>
            <w:rPr>
              <w:rFonts w:ascii="Lustria" w:eastAsia="Lustria" w:hAnsi="Lustria" w:cs="Lustria"/>
              <w:b/>
              <w:color w:val="000000"/>
              <w:sz w:val="18"/>
              <w:szCs w:val="18"/>
            </w:rPr>
            <w:t xml:space="preserve">  </w:t>
          </w:r>
          <w:r>
            <w:rPr>
              <w:rFonts w:ascii="Lustria" w:eastAsia="Lustria" w:hAnsi="Lustria" w:cs="Lustria"/>
              <w:b/>
              <w:color w:val="000000"/>
              <w:sz w:val="18"/>
              <w:szCs w:val="18"/>
            </w:rPr>
            <w:fldChar w:fldCharType="begin"/>
          </w:r>
          <w:r>
            <w:rPr>
              <w:rFonts w:ascii="Lustria" w:eastAsia="Lustria" w:hAnsi="Lustria" w:cs="Lustria"/>
              <w:b/>
              <w:color w:val="000000"/>
              <w:sz w:val="18"/>
              <w:szCs w:val="18"/>
            </w:rPr>
            <w:instrText>PAGE</w:instrText>
          </w:r>
          <w:r>
            <w:rPr>
              <w:rFonts w:ascii="Lustria" w:eastAsia="Lustria" w:hAnsi="Lustria" w:cs="Lustria"/>
              <w:b/>
              <w:color w:val="000000"/>
              <w:sz w:val="18"/>
              <w:szCs w:val="18"/>
            </w:rPr>
            <w:fldChar w:fldCharType="separate"/>
          </w:r>
          <w:r w:rsidR="00832AAD">
            <w:rPr>
              <w:rFonts w:ascii="Lustria" w:eastAsia="Lustria" w:hAnsi="Lustria" w:cs="Lustria"/>
              <w:b/>
              <w:noProof/>
              <w:color w:val="000000"/>
              <w:sz w:val="18"/>
              <w:szCs w:val="18"/>
            </w:rPr>
            <w:t>10</w:t>
          </w:r>
          <w:r>
            <w:rPr>
              <w:rFonts w:ascii="Lustria" w:eastAsia="Lustria" w:hAnsi="Lustria" w:cs="Lustria"/>
              <w:b/>
              <w:color w:val="000000"/>
              <w:sz w:val="18"/>
              <w:szCs w:val="18"/>
            </w:rPr>
            <w:fldChar w:fldCharType="end"/>
          </w:r>
        </w:p>
      </w:tc>
    </w:tr>
  </w:tbl>
  <w:p w14:paraId="29DC096A" w14:textId="77777777" w:rsidR="008D776B" w:rsidRDefault="008D776B">
    <w:pPr>
      <w:pBdr>
        <w:top w:val="nil"/>
        <w:left w:val="nil"/>
        <w:bottom w:val="nil"/>
        <w:right w:val="nil"/>
        <w:between w:val="nil"/>
      </w:pBdr>
      <w:tabs>
        <w:tab w:val="center" w:pos="4680"/>
        <w:tab w:val="right" w:pos="9360"/>
      </w:tabs>
      <w:rPr>
        <w:color w:val="000000"/>
      </w:rPr>
    </w:pPr>
  </w:p>
  <w:p w14:paraId="7961F55B" w14:textId="77777777" w:rsidR="008D776B" w:rsidRDefault="008D776B">
    <w:pPr>
      <w:pBdr>
        <w:top w:val="nil"/>
        <w:left w:val="nil"/>
        <w:bottom w:val="nil"/>
        <w:right w:val="nil"/>
        <w:between w:val="nil"/>
      </w:pBdr>
      <w:tabs>
        <w:tab w:val="center" w:pos="4680"/>
        <w:tab w:val="right" w:pos="9360"/>
      </w:tabs>
      <w:rPr>
        <w:color w:val="000000"/>
      </w:rPr>
    </w:pPr>
  </w:p>
  <w:p w14:paraId="3E0EA815" w14:textId="77777777" w:rsidR="008D776B" w:rsidRDefault="008D776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D4A5" w14:textId="77777777" w:rsidR="008D776B" w:rsidRDefault="008D776B">
    <w:pPr>
      <w:pBdr>
        <w:top w:val="nil"/>
        <w:left w:val="nil"/>
        <w:bottom w:val="nil"/>
        <w:right w:val="nil"/>
        <w:between w:val="nil"/>
      </w:pBdr>
      <w:tabs>
        <w:tab w:val="center" w:pos="4680"/>
        <w:tab w:val="right" w:pos="9360"/>
      </w:tabs>
      <w:rPr>
        <w:color w:val="000000"/>
      </w:rPr>
    </w:pPr>
  </w:p>
  <w:tbl>
    <w:tblPr>
      <w:tblStyle w:val="a4"/>
      <w:tblW w:w="9626" w:type="dxa"/>
      <w:tblInd w:w="-115" w:type="dxa"/>
      <w:tblBorders>
        <w:top w:val="single" w:sz="8" w:space="0" w:color="000000"/>
      </w:tblBorders>
      <w:tblLayout w:type="fixed"/>
      <w:tblLook w:val="0000" w:firstRow="0" w:lastRow="0" w:firstColumn="0" w:lastColumn="0" w:noHBand="0" w:noVBand="0"/>
    </w:tblPr>
    <w:tblGrid>
      <w:gridCol w:w="8879"/>
      <w:gridCol w:w="261"/>
      <w:gridCol w:w="486"/>
    </w:tblGrid>
    <w:tr w:rsidR="008D776B" w14:paraId="7175508D" w14:textId="77777777">
      <w:trPr>
        <w:trHeight w:val="251"/>
      </w:trPr>
      <w:tc>
        <w:tcPr>
          <w:tcW w:w="8879" w:type="dxa"/>
          <w:vAlign w:val="center"/>
        </w:tcPr>
        <w:p w14:paraId="08C49709" w14:textId="77777777" w:rsidR="008D776B" w:rsidRDefault="008D776B">
          <w:pPr>
            <w:tabs>
              <w:tab w:val="center" w:pos="4680"/>
              <w:tab w:val="right" w:pos="9360"/>
            </w:tabs>
            <w:ind w:right="-188"/>
            <w:rPr>
              <w:rFonts w:ascii="Lustria" w:eastAsia="Lustria" w:hAnsi="Lustria" w:cs="Lustria"/>
              <w:color w:val="000000"/>
              <w:sz w:val="18"/>
              <w:szCs w:val="18"/>
            </w:rPr>
          </w:pPr>
        </w:p>
      </w:tc>
      <w:tc>
        <w:tcPr>
          <w:tcW w:w="261" w:type="dxa"/>
          <w:vAlign w:val="center"/>
        </w:tcPr>
        <w:p w14:paraId="78E2E69E" w14:textId="77777777" w:rsidR="008D776B" w:rsidRDefault="008C1D4F">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w:t>
          </w:r>
        </w:p>
      </w:tc>
      <w:tc>
        <w:tcPr>
          <w:tcW w:w="486" w:type="dxa"/>
          <w:vAlign w:val="center"/>
        </w:tcPr>
        <w:p w14:paraId="33B63E00" w14:textId="77777777" w:rsidR="008D776B" w:rsidRDefault="008C1D4F">
          <w:pPr>
            <w:tabs>
              <w:tab w:val="center" w:pos="4680"/>
              <w:tab w:val="right" w:pos="9360"/>
            </w:tabs>
            <w:ind w:left="-142" w:right="-188"/>
            <w:rPr>
              <w:rFonts w:ascii="Lustria" w:eastAsia="Lustria" w:hAnsi="Lustria" w:cs="Lustria"/>
              <w:color w:val="000000"/>
              <w:sz w:val="18"/>
              <w:szCs w:val="18"/>
            </w:rPr>
          </w:pPr>
          <w:r>
            <w:rPr>
              <w:rFonts w:ascii="Lustria" w:eastAsia="Lustria" w:hAnsi="Lustria" w:cs="Lustria"/>
              <w:b/>
              <w:color w:val="000000"/>
              <w:sz w:val="18"/>
              <w:szCs w:val="18"/>
            </w:rPr>
            <w:t xml:space="preserve">  </w:t>
          </w:r>
          <w:r>
            <w:rPr>
              <w:rFonts w:ascii="Lustria" w:eastAsia="Lustria" w:hAnsi="Lustria" w:cs="Lustria"/>
              <w:b/>
              <w:color w:val="000000"/>
              <w:sz w:val="18"/>
              <w:szCs w:val="18"/>
            </w:rPr>
            <w:fldChar w:fldCharType="begin"/>
          </w:r>
          <w:r>
            <w:rPr>
              <w:rFonts w:ascii="Lustria" w:eastAsia="Lustria" w:hAnsi="Lustria" w:cs="Lustria"/>
              <w:b/>
              <w:color w:val="000000"/>
              <w:sz w:val="18"/>
              <w:szCs w:val="18"/>
            </w:rPr>
            <w:instrText>PAGE</w:instrText>
          </w:r>
          <w:r>
            <w:rPr>
              <w:rFonts w:ascii="Lustria" w:eastAsia="Lustria" w:hAnsi="Lustria" w:cs="Lustria"/>
              <w:b/>
              <w:color w:val="000000"/>
              <w:sz w:val="18"/>
              <w:szCs w:val="18"/>
            </w:rPr>
            <w:fldChar w:fldCharType="separate"/>
          </w:r>
          <w:r w:rsidR="00832AAD">
            <w:rPr>
              <w:rFonts w:ascii="Lustria" w:eastAsia="Lustria" w:hAnsi="Lustria" w:cs="Lustria"/>
              <w:b/>
              <w:noProof/>
              <w:color w:val="000000"/>
              <w:sz w:val="18"/>
              <w:szCs w:val="18"/>
            </w:rPr>
            <w:t>1</w:t>
          </w:r>
          <w:r>
            <w:rPr>
              <w:rFonts w:ascii="Lustria" w:eastAsia="Lustria" w:hAnsi="Lustria" w:cs="Lustria"/>
              <w:b/>
              <w:color w:val="000000"/>
              <w:sz w:val="18"/>
              <w:szCs w:val="18"/>
            </w:rPr>
            <w:fldChar w:fldCharType="end"/>
          </w:r>
        </w:p>
      </w:tc>
    </w:tr>
  </w:tbl>
  <w:p w14:paraId="3CA02729" w14:textId="77777777" w:rsidR="008D776B" w:rsidRDefault="008D776B">
    <w:pPr>
      <w:pBdr>
        <w:top w:val="nil"/>
        <w:left w:val="nil"/>
        <w:bottom w:val="nil"/>
        <w:right w:val="nil"/>
        <w:between w:val="nil"/>
      </w:pBdr>
      <w:tabs>
        <w:tab w:val="center" w:pos="4680"/>
        <w:tab w:val="right" w:pos="9360"/>
      </w:tabs>
      <w:rPr>
        <w:color w:val="000000"/>
      </w:rPr>
    </w:pPr>
  </w:p>
  <w:p w14:paraId="670B2623" w14:textId="77777777" w:rsidR="008D776B" w:rsidRDefault="008D776B">
    <w:pPr>
      <w:pBdr>
        <w:top w:val="nil"/>
        <w:left w:val="nil"/>
        <w:bottom w:val="nil"/>
        <w:right w:val="nil"/>
        <w:between w:val="nil"/>
      </w:pBdr>
      <w:tabs>
        <w:tab w:val="center" w:pos="4680"/>
        <w:tab w:val="right" w:pos="9360"/>
      </w:tabs>
      <w:rPr>
        <w:color w:val="000000"/>
      </w:rPr>
    </w:pPr>
  </w:p>
  <w:p w14:paraId="31C2E92D" w14:textId="77777777" w:rsidR="008D776B" w:rsidRDefault="008D776B">
    <w:pPr>
      <w:pBdr>
        <w:top w:val="nil"/>
        <w:left w:val="nil"/>
        <w:bottom w:val="nil"/>
        <w:right w:val="nil"/>
        <w:between w:val="nil"/>
      </w:pBdr>
      <w:tabs>
        <w:tab w:val="center" w:pos="4680"/>
        <w:tab w:val="right" w:pos="9360"/>
      </w:tabs>
      <w:rPr>
        <w:color w:val="000000"/>
      </w:rPr>
    </w:pPr>
  </w:p>
  <w:p w14:paraId="1D7842BC" w14:textId="77777777" w:rsidR="008D776B" w:rsidRDefault="008D776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D645" w14:textId="77777777" w:rsidR="002C4BFD" w:rsidRDefault="002C4BFD">
      <w:r>
        <w:separator/>
      </w:r>
    </w:p>
  </w:footnote>
  <w:footnote w:type="continuationSeparator" w:id="0">
    <w:p w14:paraId="19398C88" w14:textId="77777777" w:rsidR="002C4BFD" w:rsidRDefault="002C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8869" w14:textId="77777777" w:rsidR="008D776B" w:rsidRDefault="008D776B">
    <w:pPr>
      <w:pBdr>
        <w:top w:val="nil"/>
        <w:left w:val="nil"/>
        <w:bottom w:val="nil"/>
        <w:right w:val="nil"/>
        <w:between w:val="nil"/>
      </w:pBdr>
      <w:tabs>
        <w:tab w:val="center" w:pos="4680"/>
        <w:tab w:val="right" w:pos="9360"/>
      </w:tabs>
      <w:rPr>
        <w:color w:val="000000"/>
      </w:rPr>
    </w:pPr>
  </w:p>
  <w:p w14:paraId="4E0FEF26" w14:textId="77777777" w:rsidR="008D776B" w:rsidRDefault="008D776B">
    <w:pPr>
      <w:pBdr>
        <w:top w:val="nil"/>
        <w:left w:val="nil"/>
        <w:bottom w:val="nil"/>
        <w:right w:val="nil"/>
        <w:between w:val="nil"/>
      </w:pBdr>
      <w:tabs>
        <w:tab w:val="center" w:pos="4680"/>
        <w:tab w:val="right" w:pos="9360"/>
      </w:tabs>
      <w:rPr>
        <w:color w:val="000000"/>
      </w:rPr>
    </w:pPr>
  </w:p>
  <w:p w14:paraId="545657D3" w14:textId="77777777" w:rsidR="008D776B" w:rsidRDefault="008D776B">
    <w:pPr>
      <w:pBdr>
        <w:top w:val="nil"/>
        <w:left w:val="nil"/>
        <w:bottom w:val="nil"/>
        <w:right w:val="nil"/>
        <w:between w:val="nil"/>
      </w:pBdr>
      <w:tabs>
        <w:tab w:val="center" w:pos="4680"/>
        <w:tab w:val="right" w:pos="9360"/>
      </w:tabs>
      <w:rPr>
        <w:color w:val="000000"/>
      </w:rPr>
    </w:pPr>
  </w:p>
  <w:p w14:paraId="0F741D63" w14:textId="77777777" w:rsidR="008D776B" w:rsidRDefault="008D776B">
    <w:pPr>
      <w:pBdr>
        <w:top w:val="nil"/>
        <w:left w:val="nil"/>
        <w:bottom w:val="nil"/>
        <w:right w:val="nil"/>
        <w:between w:val="nil"/>
      </w:pBdr>
      <w:tabs>
        <w:tab w:val="center" w:pos="4680"/>
        <w:tab w:val="right" w:pos="9360"/>
      </w:tabs>
      <w:rPr>
        <w:color w:val="000000"/>
      </w:rPr>
    </w:pPr>
  </w:p>
  <w:p w14:paraId="7498095F" w14:textId="77777777" w:rsidR="008D776B" w:rsidRDefault="008D776B">
    <w:pPr>
      <w:pBdr>
        <w:top w:val="nil"/>
        <w:left w:val="nil"/>
        <w:bottom w:val="nil"/>
        <w:right w:val="nil"/>
        <w:between w:val="nil"/>
      </w:pBdr>
      <w:tabs>
        <w:tab w:val="center" w:pos="4680"/>
        <w:tab w:val="right" w:pos="9360"/>
      </w:tabs>
      <w:rPr>
        <w:color w:val="000000"/>
      </w:rPr>
    </w:pPr>
  </w:p>
  <w:tbl>
    <w:tblPr>
      <w:tblStyle w:val="a2"/>
      <w:tblW w:w="9621" w:type="dxa"/>
      <w:tblInd w:w="-115" w:type="dxa"/>
      <w:tblBorders>
        <w:bottom w:val="single" w:sz="12" w:space="0" w:color="000000"/>
      </w:tblBorders>
      <w:tblLayout w:type="fixed"/>
      <w:tblLook w:val="0000" w:firstRow="0" w:lastRow="0" w:firstColumn="0" w:lastColumn="0" w:noHBand="0" w:noVBand="0"/>
    </w:tblPr>
    <w:tblGrid>
      <w:gridCol w:w="4781"/>
      <w:gridCol w:w="4840"/>
    </w:tblGrid>
    <w:tr w:rsidR="008D776B" w14:paraId="5BA1D724" w14:textId="77777777">
      <w:trPr>
        <w:trHeight w:val="142"/>
      </w:trPr>
      <w:tc>
        <w:tcPr>
          <w:tcW w:w="4781" w:type="dxa"/>
        </w:tcPr>
        <w:p w14:paraId="07AC7A60" w14:textId="45913660" w:rsidR="008D776B" w:rsidRDefault="002363B4">
          <w:pPr>
            <w:tabs>
              <w:tab w:val="center" w:pos="4680"/>
              <w:tab w:val="right" w:pos="9360"/>
            </w:tabs>
            <w:rPr>
              <w:rFonts w:ascii="Gentium Basic" w:eastAsia="Gentium Basic" w:hAnsi="Gentium Basic" w:cs="Gentium Basic"/>
              <w:color w:val="000000"/>
              <w:sz w:val="18"/>
              <w:szCs w:val="18"/>
            </w:rPr>
          </w:pPr>
          <w:r w:rsidRPr="002363B4">
            <w:rPr>
              <w:rFonts w:ascii="Gentium Basic" w:eastAsia="Gentium Basic" w:hAnsi="Gentium Basic" w:cs="Gentium Basic"/>
              <w:color w:val="000000"/>
            </w:rPr>
            <w:t>Intan Saputri A</w:t>
          </w:r>
          <w:r>
            <w:rPr>
              <w:rFonts w:ascii="Gentium Basic" w:eastAsia="Gentium Basic" w:hAnsi="Gentium Basic" w:cs="Gentium Basic"/>
              <w:color w:val="000000"/>
            </w:rPr>
            <w:t xml:space="preserve">. </w:t>
          </w:r>
          <w:proofErr w:type="spellStart"/>
          <w:r w:rsidR="008C1D4F">
            <w:rPr>
              <w:rFonts w:ascii="Gentium Basic" w:eastAsia="Gentium Basic" w:hAnsi="Gentium Basic" w:cs="Gentium Basic"/>
              <w:i/>
              <w:color w:val="000000"/>
            </w:rPr>
            <w:t>et</w:t>
          </w:r>
          <w:proofErr w:type="spellEnd"/>
          <w:r w:rsidR="008C1D4F">
            <w:rPr>
              <w:rFonts w:ascii="Gentium Basic" w:eastAsia="Gentium Basic" w:hAnsi="Gentium Basic" w:cs="Gentium Basic"/>
              <w:i/>
              <w:color w:val="000000"/>
            </w:rPr>
            <w:t xml:space="preserve"> </w:t>
          </w:r>
          <w:proofErr w:type="spellStart"/>
          <w:r w:rsidR="008C1D4F">
            <w:rPr>
              <w:rFonts w:ascii="Gentium Basic" w:eastAsia="Gentium Basic" w:hAnsi="Gentium Basic" w:cs="Gentium Basic"/>
              <w:i/>
              <w:color w:val="000000"/>
            </w:rPr>
            <w:t>al.</w:t>
          </w:r>
          <w:proofErr w:type="spellEnd"/>
        </w:p>
      </w:tc>
      <w:tc>
        <w:tcPr>
          <w:tcW w:w="4840" w:type="dxa"/>
        </w:tcPr>
        <w:p w14:paraId="7EDF67E6" w14:textId="39792F92" w:rsidR="008D776B" w:rsidRDefault="008C1D4F">
          <w:pPr>
            <w:tabs>
              <w:tab w:val="center" w:pos="4680"/>
              <w:tab w:val="right" w:pos="9360"/>
            </w:tabs>
            <w:jc w:val="right"/>
            <w:rPr>
              <w:rFonts w:ascii="Arial" w:eastAsia="Arial" w:hAnsi="Arial" w:cs="Arial"/>
              <w:i/>
              <w:color w:val="000000"/>
            </w:rPr>
          </w:pPr>
          <w:r>
            <w:rPr>
              <w:rFonts w:ascii="Gentium Basic" w:eastAsia="Gentium Basic" w:hAnsi="Gentium Basic" w:cs="Gentium Basic"/>
              <w:color w:val="231F20"/>
            </w:rPr>
            <w:t>10.55681/seikat.v</w:t>
          </w:r>
          <w:r w:rsidR="002363B4">
            <w:rPr>
              <w:rFonts w:ascii="Gentium Basic" w:eastAsia="Gentium Basic" w:hAnsi="Gentium Basic" w:cs="Gentium Basic"/>
              <w:color w:val="231F20"/>
            </w:rPr>
            <w:t>5</w:t>
          </w:r>
          <w:r>
            <w:rPr>
              <w:rFonts w:ascii="Gentium Basic" w:eastAsia="Gentium Basic" w:hAnsi="Gentium Basic" w:cs="Gentium Basic"/>
              <w:color w:val="231F20"/>
            </w:rPr>
            <w:t>i</w:t>
          </w:r>
          <w:r w:rsidR="002363B4">
            <w:rPr>
              <w:rFonts w:ascii="Gentium Basic" w:eastAsia="Gentium Basic" w:hAnsi="Gentium Basic" w:cs="Gentium Basic"/>
              <w:color w:val="231F20"/>
            </w:rPr>
            <w:t>3</w:t>
          </w:r>
          <w:r>
            <w:rPr>
              <w:rFonts w:ascii="Gentium Basic" w:eastAsia="Gentium Basic" w:hAnsi="Gentium Basic" w:cs="Gentium Basic"/>
              <w:color w:val="231F20"/>
            </w:rPr>
            <w:t>.</w:t>
          </w:r>
          <w:r w:rsidR="002363B4">
            <w:rPr>
              <w:rFonts w:ascii="Gentium Basic" w:eastAsia="Gentium Basic" w:hAnsi="Gentium Basic" w:cs="Gentium Basic"/>
              <w:color w:val="231F20"/>
            </w:rPr>
            <w:t>2171</w:t>
          </w:r>
        </w:p>
      </w:tc>
    </w:tr>
  </w:tbl>
  <w:p w14:paraId="6AC77231" w14:textId="77777777" w:rsidR="008D776B" w:rsidRDefault="008D776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638A2"/>
    <w:multiLevelType w:val="multilevel"/>
    <w:tmpl w:val="B3765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616DE"/>
    <w:multiLevelType w:val="multilevel"/>
    <w:tmpl w:val="F78A00E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5CE92712"/>
    <w:multiLevelType w:val="multilevel"/>
    <w:tmpl w:val="50ECC70C"/>
    <w:lvl w:ilvl="0">
      <w:start w:val="1"/>
      <w:numFmt w:val="lowerLetter"/>
      <w:pStyle w:val="ItemSyaratTulis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15663447">
    <w:abstractNumId w:val="0"/>
  </w:num>
  <w:num w:numId="2" w16cid:durableId="1530683940">
    <w:abstractNumId w:val="2"/>
  </w:num>
  <w:num w:numId="3" w16cid:durableId="176226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6B"/>
    <w:rsid w:val="0008245E"/>
    <w:rsid w:val="001E69B8"/>
    <w:rsid w:val="002363B4"/>
    <w:rsid w:val="002C4BFD"/>
    <w:rsid w:val="002C7D65"/>
    <w:rsid w:val="00331944"/>
    <w:rsid w:val="003758C6"/>
    <w:rsid w:val="003C6C8A"/>
    <w:rsid w:val="00406E7A"/>
    <w:rsid w:val="00414DC5"/>
    <w:rsid w:val="004E4C2E"/>
    <w:rsid w:val="004F60FE"/>
    <w:rsid w:val="006E1388"/>
    <w:rsid w:val="007A7F30"/>
    <w:rsid w:val="00806367"/>
    <w:rsid w:val="00832AAD"/>
    <w:rsid w:val="008628D0"/>
    <w:rsid w:val="00895001"/>
    <w:rsid w:val="008C1D4F"/>
    <w:rsid w:val="008D0573"/>
    <w:rsid w:val="008D776B"/>
    <w:rsid w:val="008F72E5"/>
    <w:rsid w:val="009603EF"/>
    <w:rsid w:val="009F233B"/>
    <w:rsid w:val="00A15F2E"/>
    <w:rsid w:val="00A22B4E"/>
    <w:rsid w:val="00A73ECB"/>
    <w:rsid w:val="00AC53BC"/>
    <w:rsid w:val="00AF272A"/>
    <w:rsid w:val="00B109B1"/>
    <w:rsid w:val="00B8184A"/>
    <w:rsid w:val="00BA57C5"/>
    <w:rsid w:val="00D57518"/>
    <w:rsid w:val="00E342E9"/>
    <w:rsid w:val="00E4253C"/>
    <w:rsid w:val="00F321E6"/>
    <w:rsid w:val="00F5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AD431"/>
  <w15:docId w15:val="{7B57E903-8662-46C2-A79D-641825A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F0"/>
    <w:rPr>
      <w:lang w:val="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character" w:customStyle="1" w:styleId="ListParagraphChar">
    <w:name w:val="List Paragraph Char"/>
    <w:link w:val="ListParagraph"/>
    <w:uiPriority w:val="34"/>
    <w:rsid w:val="000058E5"/>
    <w:rPr>
      <w:rFonts w:eastAsia="Times New Roman"/>
    </w:rPr>
  </w:style>
  <w:style w:type="paragraph" w:styleId="ListParagraph">
    <w:name w:val="List Paragraph"/>
    <w:basedOn w:val="Normal"/>
    <w:link w:val="ListParagraphChar"/>
    <w:uiPriority w:val="34"/>
    <w:qFormat/>
    <w:rsid w:val="000058E5"/>
    <w:pPr>
      <w:spacing w:after="200" w:line="276" w:lineRule="auto"/>
      <w:ind w:left="720"/>
      <w:contextualSpacing/>
    </w:pPr>
    <w:rPr>
      <w:rFonts w:asciiTheme="minorHAnsi" w:hAnsiTheme="minorHAnsi" w:cstheme="minorBidi"/>
      <w:sz w:val="22"/>
      <w:szCs w:val="22"/>
      <w:lang w:val="en-US"/>
    </w:rPr>
  </w:style>
  <w:style w:type="character" w:styleId="Hyperlink">
    <w:name w:val="Hyperlink"/>
    <w:uiPriority w:val="99"/>
    <w:unhideWhenUsed/>
    <w:rsid w:val="00B43B60"/>
    <w:rPr>
      <w:color w:val="0000FF"/>
      <w:u w:val="single"/>
    </w:rPr>
  </w:style>
  <w:style w:type="paragraph" w:customStyle="1" w:styleId="ItemSyaratTulis2">
    <w:name w:val="Item Syarat Tulis 2"/>
    <w:basedOn w:val="Normal"/>
    <w:link w:val="ItemSyaratTulis2Char"/>
    <w:qFormat/>
    <w:rsid w:val="00B43B60"/>
    <w:pPr>
      <w:numPr>
        <w:numId w:val="2"/>
      </w:numPr>
      <w:spacing w:after="75"/>
      <w:ind w:left="990"/>
      <w:contextualSpacing/>
    </w:pPr>
    <w:rPr>
      <w:sz w:val="24"/>
      <w:szCs w:val="22"/>
      <w:lang w:val="en-US" w:eastAsia="zh-TW"/>
    </w:rPr>
  </w:style>
  <w:style w:type="character" w:customStyle="1" w:styleId="ItemSyaratTulis2Char">
    <w:name w:val="Item Syarat Tulis 2 Char"/>
    <w:link w:val="ItemSyaratTulis2"/>
    <w:rsid w:val="00B43B60"/>
    <w:rPr>
      <w:rFonts w:ascii="Times New Roman" w:eastAsia="Times New Roman" w:hAnsi="Times New Roman" w:cs="Times New Roman"/>
      <w:sz w:val="24"/>
      <w:lang w:eastAsia="zh-TW"/>
    </w:rPr>
  </w:style>
  <w:style w:type="table" w:styleId="TableGrid">
    <w:name w:val="Table Grid"/>
    <w:basedOn w:val="TableNormal"/>
    <w:uiPriority w:val="39"/>
    <w:rsid w:val="00FE6F0F"/>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0A5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rPr>
      <w:sz w:val="24"/>
      <w:szCs w:val="24"/>
    </w:rPr>
    <w:tblPr>
      <w:tblStyleRowBandSize w:val="1"/>
      <w:tblStyleColBandSize w:val="1"/>
    </w:tblPr>
  </w:style>
  <w:style w:type="table" w:customStyle="1" w:styleId="a1">
    <w:basedOn w:val="TableNormal"/>
    <w:rPr>
      <w:sz w:val="24"/>
      <w:szCs w:val="24"/>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Bibliography">
    <w:name w:val="Bibliography"/>
    <w:basedOn w:val="Normal"/>
    <w:next w:val="Normal"/>
    <w:uiPriority w:val="37"/>
    <w:unhideWhenUsed/>
    <w:rsid w:val="00832AAD"/>
    <w:pPr>
      <w:spacing w:line="480" w:lineRule="auto"/>
      <w:ind w:left="720" w:hanging="720"/>
    </w:pPr>
  </w:style>
  <w:style w:type="character" w:styleId="UnresolvedMention">
    <w:name w:val="Unresolved Mention"/>
    <w:basedOn w:val="DefaultParagraphFont"/>
    <w:uiPriority w:val="99"/>
    <w:semiHidden/>
    <w:unhideWhenUsed/>
    <w:rsid w:val="004E4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1393">
      <w:bodyDiv w:val="1"/>
      <w:marLeft w:val="0"/>
      <w:marRight w:val="0"/>
      <w:marTop w:val="0"/>
      <w:marBottom w:val="0"/>
      <w:divBdr>
        <w:top w:val="none" w:sz="0" w:space="0" w:color="auto"/>
        <w:left w:val="none" w:sz="0" w:space="0" w:color="auto"/>
        <w:bottom w:val="none" w:sz="0" w:space="0" w:color="auto"/>
        <w:right w:val="none" w:sz="0" w:space="0" w:color="auto"/>
      </w:divBdr>
    </w:div>
    <w:div w:id="161438816">
      <w:bodyDiv w:val="1"/>
      <w:marLeft w:val="0"/>
      <w:marRight w:val="0"/>
      <w:marTop w:val="0"/>
      <w:marBottom w:val="0"/>
      <w:divBdr>
        <w:top w:val="none" w:sz="0" w:space="0" w:color="auto"/>
        <w:left w:val="none" w:sz="0" w:space="0" w:color="auto"/>
        <w:bottom w:val="none" w:sz="0" w:space="0" w:color="auto"/>
        <w:right w:val="none" w:sz="0" w:space="0" w:color="auto"/>
      </w:divBdr>
    </w:div>
    <w:div w:id="375980304">
      <w:bodyDiv w:val="1"/>
      <w:marLeft w:val="0"/>
      <w:marRight w:val="0"/>
      <w:marTop w:val="0"/>
      <w:marBottom w:val="0"/>
      <w:divBdr>
        <w:top w:val="none" w:sz="0" w:space="0" w:color="auto"/>
        <w:left w:val="none" w:sz="0" w:space="0" w:color="auto"/>
        <w:bottom w:val="none" w:sz="0" w:space="0" w:color="auto"/>
        <w:right w:val="none" w:sz="0" w:space="0" w:color="auto"/>
      </w:divBdr>
    </w:div>
    <w:div w:id="576328263">
      <w:bodyDiv w:val="1"/>
      <w:marLeft w:val="0"/>
      <w:marRight w:val="0"/>
      <w:marTop w:val="0"/>
      <w:marBottom w:val="0"/>
      <w:divBdr>
        <w:top w:val="none" w:sz="0" w:space="0" w:color="auto"/>
        <w:left w:val="none" w:sz="0" w:space="0" w:color="auto"/>
        <w:bottom w:val="none" w:sz="0" w:space="0" w:color="auto"/>
        <w:right w:val="none" w:sz="0" w:space="0" w:color="auto"/>
      </w:divBdr>
    </w:div>
    <w:div w:id="695691426">
      <w:bodyDiv w:val="1"/>
      <w:marLeft w:val="0"/>
      <w:marRight w:val="0"/>
      <w:marTop w:val="0"/>
      <w:marBottom w:val="0"/>
      <w:divBdr>
        <w:top w:val="none" w:sz="0" w:space="0" w:color="auto"/>
        <w:left w:val="none" w:sz="0" w:space="0" w:color="auto"/>
        <w:bottom w:val="none" w:sz="0" w:space="0" w:color="auto"/>
        <w:right w:val="none" w:sz="0" w:space="0" w:color="auto"/>
      </w:divBdr>
    </w:div>
    <w:div w:id="771512056">
      <w:bodyDiv w:val="1"/>
      <w:marLeft w:val="0"/>
      <w:marRight w:val="0"/>
      <w:marTop w:val="0"/>
      <w:marBottom w:val="0"/>
      <w:divBdr>
        <w:top w:val="none" w:sz="0" w:space="0" w:color="auto"/>
        <w:left w:val="none" w:sz="0" w:space="0" w:color="auto"/>
        <w:bottom w:val="none" w:sz="0" w:space="0" w:color="auto"/>
        <w:right w:val="none" w:sz="0" w:space="0" w:color="auto"/>
      </w:divBdr>
    </w:div>
    <w:div w:id="842429133">
      <w:bodyDiv w:val="1"/>
      <w:marLeft w:val="0"/>
      <w:marRight w:val="0"/>
      <w:marTop w:val="0"/>
      <w:marBottom w:val="0"/>
      <w:divBdr>
        <w:top w:val="none" w:sz="0" w:space="0" w:color="auto"/>
        <w:left w:val="none" w:sz="0" w:space="0" w:color="auto"/>
        <w:bottom w:val="none" w:sz="0" w:space="0" w:color="auto"/>
        <w:right w:val="none" w:sz="0" w:space="0" w:color="auto"/>
      </w:divBdr>
    </w:div>
    <w:div w:id="1120802153">
      <w:bodyDiv w:val="1"/>
      <w:marLeft w:val="0"/>
      <w:marRight w:val="0"/>
      <w:marTop w:val="0"/>
      <w:marBottom w:val="0"/>
      <w:divBdr>
        <w:top w:val="none" w:sz="0" w:space="0" w:color="auto"/>
        <w:left w:val="none" w:sz="0" w:space="0" w:color="auto"/>
        <w:bottom w:val="none" w:sz="0" w:space="0" w:color="auto"/>
        <w:right w:val="none" w:sz="0" w:space="0" w:color="auto"/>
      </w:divBdr>
    </w:div>
    <w:div w:id="1235504513">
      <w:bodyDiv w:val="1"/>
      <w:marLeft w:val="0"/>
      <w:marRight w:val="0"/>
      <w:marTop w:val="0"/>
      <w:marBottom w:val="0"/>
      <w:divBdr>
        <w:top w:val="none" w:sz="0" w:space="0" w:color="auto"/>
        <w:left w:val="none" w:sz="0" w:space="0" w:color="auto"/>
        <w:bottom w:val="none" w:sz="0" w:space="0" w:color="auto"/>
        <w:right w:val="none" w:sz="0" w:space="0" w:color="auto"/>
      </w:divBdr>
    </w:div>
    <w:div w:id="1383362926">
      <w:bodyDiv w:val="1"/>
      <w:marLeft w:val="0"/>
      <w:marRight w:val="0"/>
      <w:marTop w:val="0"/>
      <w:marBottom w:val="0"/>
      <w:divBdr>
        <w:top w:val="none" w:sz="0" w:space="0" w:color="auto"/>
        <w:left w:val="none" w:sz="0" w:space="0" w:color="auto"/>
        <w:bottom w:val="none" w:sz="0" w:space="0" w:color="auto"/>
        <w:right w:val="none" w:sz="0" w:space="0" w:color="auto"/>
      </w:divBdr>
    </w:div>
    <w:div w:id="1397237195">
      <w:bodyDiv w:val="1"/>
      <w:marLeft w:val="0"/>
      <w:marRight w:val="0"/>
      <w:marTop w:val="0"/>
      <w:marBottom w:val="0"/>
      <w:divBdr>
        <w:top w:val="none" w:sz="0" w:space="0" w:color="auto"/>
        <w:left w:val="none" w:sz="0" w:space="0" w:color="auto"/>
        <w:bottom w:val="none" w:sz="0" w:space="0" w:color="auto"/>
        <w:right w:val="none" w:sz="0" w:space="0" w:color="auto"/>
      </w:divBdr>
    </w:div>
    <w:div w:id="1663852616">
      <w:bodyDiv w:val="1"/>
      <w:marLeft w:val="0"/>
      <w:marRight w:val="0"/>
      <w:marTop w:val="0"/>
      <w:marBottom w:val="0"/>
      <w:divBdr>
        <w:top w:val="none" w:sz="0" w:space="0" w:color="auto"/>
        <w:left w:val="none" w:sz="0" w:space="0" w:color="auto"/>
        <w:bottom w:val="none" w:sz="0" w:space="0" w:color="auto"/>
        <w:right w:val="none" w:sz="0" w:space="0" w:color="auto"/>
      </w:divBdr>
    </w:div>
    <w:div w:id="1818572431">
      <w:bodyDiv w:val="1"/>
      <w:marLeft w:val="0"/>
      <w:marRight w:val="0"/>
      <w:marTop w:val="0"/>
      <w:marBottom w:val="0"/>
      <w:divBdr>
        <w:top w:val="none" w:sz="0" w:space="0" w:color="auto"/>
        <w:left w:val="none" w:sz="0" w:space="0" w:color="auto"/>
        <w:bottom w:val="none" w:sz="0" w:space="0" w:color="auto"/>
        <w:right w:val="none" w:sz="0" w:space="0" w:color="auto"/>
      </w:divBdr>
    </w:div>
    <w:div w:id="1978024424">
      <w:bodyDiv w:val="1"/>
      <w:marLeft w:val="0"/>
      <w:marRight w:val="0"/>
      <w:marTop w:val="0"/>
      <w:marBottom w:val="0"/>
      <w:divBdr>
        <w:top w:val="none" w:sz="0" w:space="0" w:color="auto"/>
        <w:left w:val="none" w:sz="0" w:space="0" w:color="auto"/>
        <w:bottom w:val="none" w:sz="0" w:space="0" w:color="auto"/>
        <w:right w:val="none" w:sz="0" w:space="0" w:color="auto"/>
      </w:divBdr>
    </w:div>
    <w:div w:id="211513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tan.saputtr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45mataram.ac.id/index.php/seik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ournal.45mataram.ac.id/index.php/seika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eE3s9/UP0fYvKqNUsXi4y4umAg==">AMUW2mX7YNQSkYtmdMdDg/CykPSBnHss9X0pwPnyr4I4tznMk9gytmswAG1Gf7+xHGfhuLUXNJr6bTAS97voHPjUe7z8sxm/jLGgT/AXn8tJy82L5xezwErJo/i3EpjGk+GZi5OT8dXN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10</Pages>
  <Words>8969</Words>
  <Characters>51124</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Cinun</dc:creator>
  <cp:lastModifiedBy>ASUS</cp:lastModifiedBy>
  <cp:revision>18</cp:revision>
  <cp:lastPrinted>2026-06-13T03:48:00Z</cp:lastPrinted>
  <dcterms:created xsi:type="dcterms:W3CDTF">2026-05-07T07:19:00Z</dcterms:created>
  <dcterms:modified xsi:type="dcterms:W3CDTF">2026-06-18T12:47:00Z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id="BN9cxiKO"/&gt;&lt;style id="http://www.zotero.org/styles/apa" locale="id-ID" hasBibliography="1" bibliographyStyleHasBeenSet="1"/&gt;&lt;prefs&gt;&lt;pref name="fieldType" value="Field"/&gt;&lt;/prefs&gt;&lt;/data&gt;</vt:lpwstr>
  </property>
</Properties>
</file>