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7263D" w14:textId="77777777" w:rsidR="001545D9" w:rsidRPr="00D47213" w:rsidRDefault="001545D9">
      <w:pPr>
        <w:widowControl w:val="0"/>
        <w:pBdr>
          <w:top w:val="nil"/>
          <w:left w:val="nil"/>
          <w:bottom w:val="nil"/>
          <w:right w:val="nil"/>
          <w:between w:val="nil"/>
        </w:pBdr>
        <w:spacing w:line="276" w:lineRule="auto"/>
        <w:rPr>
          <w:rFonts w:ascii="Baskerville Old Face" w:eastAsia="Arial" w:hAnsi="Baskerville Old Face" w:cs="Arial"/>
          <w:color w:val="000000"/>
          <w:sz w:val="22"/>
          <w:szCs w:val="22"/>
        </w:rPr>
      </w:pPr>
    </w:p>
    <w:tbl>
      <w:tblPr>
        <w:tblStyle w:val="a"/>
        <w:tblW w:w="9356" w:type="dxa"/>
        <w:tblBorders>
          <w:top w:val="nil"/>
          <w:left w:val="nil"/>
          <w:bottom w:val="nil"/>
          <w:right w:val="nil"/>
          <w:insideH w:val="nil"/>
          <w:insideV w:val="nil"/>
        </w:tblBorders>
        <w:tblLayout w:type="fixed"/>
        <w:tblLook w:val="0400" w:firstRow="0" w:lastRow="0" w:firstColumn="0" w:lastColumn="0" w:noHBand="0" w:noVBand="1"/>
      </w:tblPr>
      <w:tblGrid>
        <w:gridCol w:w="9356"/>
      </w:tblGrid>
      <w:tr w:rsidR="001545D9" w:rsidRPr="00D47213" w14:paraId="0114C652" w14:textId="77777777">
        <w:trPr>
          <w:trHeight w:val="1584"/>
        </w:trPr>
        <w:tc>
          <w:tcPr>
            <w:tcW w:w="9356" w:type="dxa"/>
          </w:tcPr>
          <w:p w14:paraId="6F3BDF52" w14:textId="56A8C214" w:rsidR="001545D9" w:rsidRPr="00D47213" w:rsidRDefault="002332E3" w:rsidP="00D47213">
            <w:pPr>
              <w:jc w:val="center"/>
              <w:rPr>
                <w:rFonts w:ascii="Baskerville Old Face" w:eastAsia="Cambria" w:hAnsi="Baskerville Old Face" w:cs="Cambria"/>
                <w:b/>
                <w:bCs/>
                <w:sz w:val="32"/>
                <w:szCs w:val="32"/>
                <w:lang w:val="en-ID"/>
              </w:rPr>
            </w:pPr>
            <w:r w:rsidRPr="00D47213">
              <w:rPr>
                <w:rFonts w:ascii="Baskerville Old Face" w:eastAsia="Cambria" w:hAnsi="Baskerville Old Face" w:cs="Cambria"/>
                <w:b/>
                <w:bCs/>
                <w:sz w:val="32"/>
                <w:szCs w:val="32"/>
                <w:lang w:val="en-ID"/>
              </w:rPr>
              <w:t>The Influence of the Use of Information and Communication</w:t>
            </w:r>
            <w:r w:rsidR="00D47213" w:rsidRPr="00D47213">
              <w:rPr>
                <w:rFonts w:ascii="Baskerville Old Face" w:eastAsia="Cambria" w:hAnsi="Baskerville Old Face" w:cs="Cambria"/>
                <w:b/>
                <w:bCs/>
                <w:sz w:val="32"/>
                <w:szCs w:val="32"/>
                <w:lang w:val="en-ID"/>
              </w:rPr>
              <w:t xml:space="preserve"> </w:t>
            </w:r>
            <w:r w:rsidRPr="00D47213">
              <w:rPr>
                <w:rFonts w:ascii="Baskerville Old Face" w:eastAsia="Cambria" w:hAnsi="Baskerville Old Face" w:cs="Cambria"/>
                <w:b/>
                <w:bCs/>
                <w:sz w:val="32"/>
                <w:szCs w:val="32"/>
                <w:lang w:val="en-ID"/>
              </w:rPr>
              <w:t>Technology and Facilities and Infrastructure on the Quality of Learning in Public Elementary Schools in Muara Telang District</w:t>
            </w:r>
          </w:p>
          <w:p w14:paraId="7859C601" w14:textId="77777777" w:rsidR="002332E3" w:rsidRPr="00D47213" w:rsidRDefault="002332E3" w:rsidP="000F089E">
            <w:pPr>
              <w:ind w:left="-108"/>
              <w:jc w:val="center"/>
              <w:rPr>
                <w:rFonts w:ascii="Baskerville Old Face" w:eastAsia="Cambria" w:hAnsi="Baskerville Old Face" w:cs="Cambria"/>
                <w:lang w:val="en-ID"/>
              </w:rPr>
            </w:pPr>
          </w:p>
          <w:p w14:paraId="66F348DE" w14:textId="7A4BAECD" w:rsidR="001545D9" w:rsidRPr="00D47213" w:rsidRDefault="00B04DEA" w:rsidP="00507B4E">
            <w:pPr>
              <w:spacing w:after="100"/>
              <w:jc w:val="center"/>
              <w:rPr>
                <w:rFonts w:ascii="Baskerville Old Face" w:eastAsia="Cambria" w:hAnsi="Baskerville Old Face" w:cs="Cambria"/>
                <w:b/>
                <w:sz w:val="24"/>
                <w:szCs w:val="24"/>
                <w:lang w:val="en-ID"/>
              </w:rPr>
            </w:pPr>
            <w:r w:rsidRPr="00D47213">
              <w:rPr>
                <w:rFonts w:ascii="Baskerville Old Face" w:eastAsia="Cambria" w:hAnsi="Baskerville Old Face" w:cs="Cambria"/>
                <w:b/>
                <w:sz w:val="24"/>
                <w:szCs w:val="24"/>
                <w:lang w:val="en-ID"/>
              </w:rPr>
              <w:t>Akhri Hartono</w:t>
            </w:r>
            <w:r w:rsidR="003C495F" w:rsidRPr="00D47213">
              <w:rPr>
                <w:rFonts w:ascii="Baskerville Old Face" w:eastAsia="Cambria" w:hAnsi="Baskerville Old Face" w:cs="Cambria"/>
                <w:b/>
                <w:color w:val="FFC000"/>
                <w:sz w:val="24"/>
                <w:szCs w:val="24"/>
                <w:vertAlign w:val="superscript"/>
              </w:rPr>
              <w:footnoteReference w:id="1"/>
            </w:r>
            <w:r w:rsidR="00D47213" w:rsidRPr="00D47213">
              <w:rPr>
                <w:rFonts w:ascii="Baskerville Old Face" w:eastAsia="Cambria" w:hAnsi="Baskerville Old Face" w:cs="Cambria"/>
                <w:b/>
                <w:sz w:val="24"/>
                <w:szCs w:val="24"/>
                <w:lang w:val="en-ID"/>
              </w:rPr>
              <w:t>*</w:t>
            </w:r>
            <w:r w:rsidR="003C495F" w:rsidRPr="00D47213">
              <w:rPr>
                <w:rFonts w:ascii="Baskerville Old Face" w:eastAsia="Cambria" w:hAnsi="Baskerville Old Face" w:cs="Cambria"/>
                <w:sz w:val="24"/>
                <w:szCs w:val="24"/>
              </w:rPr>
              <w:t xml:space="preserve">, </w:t>
            </w:r>
            <w:r w:rsidRPr="00D47213">
              <w:rPr>
                <w:rFonts w:ascii="Baskerville Old Face" w:eastAsia="Cambria" w:hAnsi="Baskerville Old Face" w:cs="Cambria"/>
                <w:b/>
                <w:sz w:val="24"/>
                <w:szCs w:val="24"/>
              </w:rPr>
              <w:t>Rohana</w:t>
            </w:r>
            <w:r w:rsidR="00D47213" w:rsidRPr="00D47213">
              <w:rPr>
                <w:rFonts w:ascii="Baskerville Old Face" w:eastAsia="Cambria" w:hAnsi="Baskerville Old Face" w:cs="Cambria"/>
                <w:b/>
                <w:color w:val="FFC000"/>
                <w:sz w:val="24"/>
                <w:szCs w:val="24"/>
                <w:vertAlign w:val="superscript"/>
              </w:rPr>
              <w:footnoteReference w:id="2"/>
            </w:r>
            <w:r w:rsidR="003C495F" w:rsidRPr="00D47213">
              <w:rPr>
                <w:rFonts w:ascii="Baskerville Old Face" w:eastAsia="Cambria" w:hAnsi="Baskerville Old Face" w:cs="Cambria"/>
                <w:sz w:val="24"/>
                <w:szCs w:val="24"/>
              </w:rPr>
              <w:t xml:space="preserve">, </w:t>
            </w:r>
            <w:r w:rsidRPr="00D47213">
              <w:rPr>
                <w:rFonts w:ascii="Baskerville Old Face" w:eastAsia="Cambria" w:hAnsi="Baskerville Old Face" w:cs="Cambria"/>
                <w:b/>
                <w:sz w:val="24"/>
                <w:szCs w:val="24"/>
              </w:rPr>
              <w:t>Bukman Lian</w:t>
            </w:r>
            <w:r w:rsidR="00D47213" w:rsidRPr="00D47213">
              <w:rPr>
                <w:rFonts w:ascii="Baskerville Old Face" w:eastAsia="Cambria" w:hAnsi="Baskerville Old Face" w:cs="Cambria"/>
                <w:b/>
                <w:color w:val="FFC000"/>
                <w:sz w:val="24"/>
                <w:szCs w:val="24"/>
                <w:vertAlign w:val="superscript"/>
              </w:rPr>
              <w:footnoteReference w:id="3"/>
            </w:r>
          </w:p>
          <w:p w14:paraId="1E3F6510" w14:textId="5920E5AC" w:rsidR="001545D9" w:rsidRPr="00D47213" w:rsidRDefault="00E754A3" w:rsidP="00507B4E">
            <w:pPr>
              <w:spacing w:after="100"/>
              <w:jc w:val="center"/>
              <w:rPr>
                <w:rFonts w:ascii="Baskerville Old Face" w:eastAsia="Cambria" w:hAnsi="Baskerville Old Face" w:cs="Cambria"/>
                <w:iCs/>
                <w:sz w:val="22"/>
                <w:szCs w:val="22"/>
              </w:rPr>
            </w:pPr>
            <w:r w:rsidRPr="00D47213">
              <w:rPr>
                <w:rFonts w:ascii="Baskerville Old Face" w:eastAsia="Cambria" w:hAnsi="Baskerville Old Face" w:cs="Cambria"/>
                <w:iCs/>
                <w:sz w:val="22"/>
                <w:szCs w:val="22"/>
              </w:rPr>
              <w:t xml:space="preserve">Corresponding Author's e-mail : </w:t>
            </w:r>
            <w:hyperlink r:id="rId9" w:history="1">
              <w:r w:rsidR="00B04DEA" w:rsidRPr="00D47213">
                <w:rPr>
                  <w:rStyle w:val="Hyperlink"/>
                  <w:rFonts w:ascii="Baskerville Old Face" w:eastAsia="Cambria" w:hAnsi="Baskerville Old Face" w:cs="Cambria"/>
                  <w:i/>
                  <w:color w:val="auto"/>
                  <w:sz w:val="22"/>
                  <w:szCs w:val="22"/>
                  <w:u w:val="none"/>
                </w:rPr>
                <w:t xml:space="preserve">4khrihart0no@gmail.com </w:t>
              </w:r>
            </w:hyperlink>
          </w:p>
        </w:tc>
      </w:tr>
    </w:tbl>
    <w:p w14:paraId="1508F169" w14:textId="77777777" w:rsidR="001545D9" w:rsidRPr="00D47213" w:rsidRDefault="001545D9">
      <w:pPr>
        <w:ind w:left="-108" w:right="-91"/>
        <w:rPr>
          <w:rFonts w:ascii="Baskerville Old Face" w:eastAsia="Cambria" w:hAnsi="Baskerville Old Face" w:cs="Cambria"/>
          <w:sz w:val="4"/>
          <w:szCs w:val="4"/>
        </w:rPr>
      </w:pPr>
    </w:p>
    <w:tbl>
      <w:tblPr>
        <w:tblStyle w:val="a0"/>
        <w:tblW w:w="9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5"/>
        <w:gridCol w:w="288"/>
        <w:gridCol w:w="6950"/>
      </w:tblGrid>
      <w:tr w:rsidR="001545D9" w:rsidRPr="00D47213" w14:paraId="0C8237B1" w14:textId="77777777" w:rsidTr="00815BD0">
        <w:trPr>
          <w:trHeight w:val="442"/>
        </w:trPr>
        <w:tc>
          <w:tcPr>
            <w:tcW w:w="2315" w:type="dxa"/>
            <w:tcBorders>
              <w:top w:val="single" w:sz="4" w:space="0" w:color="000000"/>
              <w:left w:val="nil"/>
              <w:bottom w:val="single" w:sz="4" w:space="0" w:color="000000"/>
              <w:right w:val="nil"/>
            </w:tcBorders>
          </w:tcPr>
          <w:p w14:paraId="132216C6" w14:textId="77777777" w:rsidR="001545D9" w:rsidRPr="00D47213" w:rsidRDefault="003C495F">
            <w:pPr>
              <w:spacing w:before="120" w:after="120"/>
              <w:ind w:left="-108"/>
              <w:rPr>
                <w:rFonts w:ascii="Baskerville Old Face" w:eastAsia="Cambria" w:hAnsi="Baskerville Old Face" w:cs="Cambria"/>
                <w:b/>
              </w:rPr>
            </w:pPr>
            <w:r w:rsidRPr="00D47213">
              <w:rPr>
                <w:rFonts w:ascii="Baskerville Old Face" w:eastAsia="Cambria" w:hAnsi="Baskerville Old Face" w:cs="Cambria"/>
                <w:b/>
                <w:i/>
                <w:sz w:val="19"/>
                <w:szCs w:val="19"/>
              </w:rPr>
              <w:t>Article History</w:t>
            </w:r>
          </w:p>
        </w:tc>
        <w:tc>
          <w:tcPr>
            <w:tcW w:w="288" w:type="dxa"/>
            <w:tcBorders>
              <w:top w:val="single" w:sz="4" w:space="0" w:color="000000"/>
              <w:left w:val="nil"/>
              <w:bottom w:val="nil"/>
              <w:right w:val="nil"/>
            </w:tcBorders>
          </w:tcPr>
          <w:p w14:paraId="1DD06FCD" w14:textId="77777777" w:rsidR="001545D9" w:rsidRPr="00D47213" w:rsidRDefault="001545D9">
            <w:pPr>
              <w:spacing w:before="120"/>
              <w:jc w:val="center"/>
              <w:rPr>
                <w:rFonts w:ascii="Baskerville Old Face" w:eastAsia="Cambria" w:hAnsi="Baskerville Old Face" w:cs="Cambria"/>
              </w:rPr>
            </w:pPr>
          </w:p>
        </w:tc>
        <w:tc>
          <w:tcPr>
            <w:tcW w:w="6948" w:type="dxa"/>
            <w:tcBorders>
              <w:top w:val="single" w:sz="4" w:space="0" w:color="000000"/>
              <w:left w:val="nil"/>
              <w:bottom w:val="single" w:sz="4" w:space="0" w:color="000000"/>
              <w:right w:val="nil"/>
            </w:tcBorders>
          </w:tcPr>
          <w:p w14:paraId="605DE0B4" w14:textId="77777777" w:rsidR="001545D9" w:rsidRPr="00D47213" w:rsidRDefault="003C495F">
            <w:pPr>
              <w:spacing w:before="120"/>
              <w:ind w:left="-107"/>
              <w:rPr>
                <w:rFonts w:ascii="Baskerville Old Face" w:eastAsia="Cambria" w:hAnsi="Baskerville Old Face" w:cs="Cambria"/>
              </w:rPr>
            </w:pPr>
            <w:bookmarkStart w:id="0" w:name="bookmark=id.gjdgxs" w:colFirst="0" w:colLast="0"/>
            <w:bookmarkEnd w:id="0"/>
            <w:r w:rsidRPr="00D47213">
              <w:rPr>
                <w:rFonts w:ascii="Baskerville Old Face" w:eastAsia="Cambria" w:hAnsi="Baskerville Old Face" w:cs="Cambria"/>
                <w:b/>
              </w:rPr>
              <w:t>Abstract</w:t>
            </w:r>
          </w:p>
        </w:tc>
      </w:tr>
      <w:tr w:rsidR="001545D9" w:rsidRPr="00D47213" w14:paraId="42ED7DB8" w14:textId="77777777" w:rsidTr="00815BD0">
        <w:trPr>
          <w:trHeight w:val="1225"/>
        </w:trPr>
        <w:tc>
          <w:tcPr>
            <w:tcW w:w="2315" w:type="dxa"/>
            <w:tcBorders>
              <w:top w:val="single" w:sz="4" w:space="0" w:color="000000"/>
              <w:left w:val="nil"/>
              <w:bottom w:val="single" w:sz="4" w:space="0" w:color="000000"/>
              <w:right w:val="nil"/>
            </w:tcBorders>
          </w:tcPr>
          <w:p w14:paraId="19AD4ED2" w14:textId="77777777" w:rsidR="0084183F" w:rsidRPr="00971181" w:rsidRDefault="0084183F" w:rsidP="0084183F">
            <w:pPr>
              <w:spacing w:before="120"/>
              <w:ind w:left="-108"/>
              <w:rPr>
                <w:rFonts w:ascii="Baskerville Old Face" w:eastAsia="Cambria" w:hAnsi="Baskerville Old Face" w:cs="Cambria"/>
                <w:i/>
                <w:sz w:val="18"/>
                <w:szCs w:val="18"/>
              </w:rPr>
            </w:pPr>
            <w:r w:rsidRPr="00971181">
              <w:rPr>
                <w:rFonts w:ascii="Baskerville Old Face" w:hAnsi="Baskerville Old Face"/>
                <w:i/>
                <w:sz w:val="18"/>
              </w:rPr>
              <w:t>Manuscript submitted:</w:t>
            </w:r>
          </w:p>
          <w:p w14:paraId="28B58643" w14:textId="6BB69E1C" w:rsidR="0084183F" w:rsidRPr="00971181" w:rsidRDefault="0084183F" w:rsidP="0084183F">
            <w:pPr>
              <w:ind w:left="-108"/>
              <w:rPr>
                <w:rFonts w:ascii="Baskerville Old Face" w:eastAsia="Cambria" w:hAnsi="Baskerville Old Face" w:cs="Cambria"/>
                <w:b/>
                <w:i/>
                <w:sz w:val="18"/>
                <w:szCs w:val="18"/>
              </w:rPr>
            </w:pPr>
            <w:r>
              <w:rPr>
                <w:rFonts w:ascii="Baskerville Old Face" w:hAnsi="Baskerville Old Face"/>
                <w:b/>
                <w:i/>
                <w:sz w:val="18"/>
              </w:rPr>
              <w:t xml:space="preserve">04 </w:t>
            </w:r>
            <w:r w:rsidRPr="00971181">
              <w:rPr>
                <w:rFonts w:ascii="Baskerville Old Face" w:hAnsi="Baskerville Old Face"/>
                <w:b/>
                <w:i/>
                <w:sz w:val="18"/>
              </w:rPr>
              <w:t>March 2026</w:t>
            </w:r>
          </w:p>
          <w:p w14:paraId="56EC861D" w14:textId="77777777" w:rsidR="0084183F" w:rsidRPr="00971181" w:rsidRDefault="0084183F" w:rsidP="0084183F">
            <w:pPr>
              <w:ind w:left="-108"/>
              <w:rPr>
                <w:rFonts w:ascii="Baskerville Old Face" w:eastAsia="Cambria" w:hAnsi="Baskerville Old Face" w:cs="Cambria"/>
                <w:i/>
                <w:sz w:val="18"/>
                <w:szCs w:val="18"/>
              </w:rPr>
            </w:pPr>
            <w:r w:rsidRPr="00971181">
              <w:rPr>
                <w:rFonts w:ascii="Baskerville Old Face" w:hAnsi="Baskerville Old Face"/>
                <w:i/>
                <w:sz w:val="18"/>
              </w:rPr>
              <w:t>Manuscript revised:</w:t>
            </w:r>
          </w:p>
          <w:p w14:paraId="4AE1F534" w14:textId="43FF75EF" w:rsidR="0084183F" w:rsidRPr="00971181" w:rsidRDefault="0084183F" w:rsidP="0084183F">
            <w:pPr>
              <w:ind w:left="-108"/>
              <w:rPr>
                <w:rFonts w:ascii="Baskerville Old Face" w:eastAsia="Cambria" w:hAnsi="Baskerville Old Face" w:cs="Cambria"/>
                <w:b/>
                <w:i/>
                <w:sz w:val="18"/>
                <w:szCs w:val="18"/>
              </w:rPr>
            </w:pPr>
            <w:r>
              <w:rPr>
                <w:rFonts w:ascii="Baskerville Old Face" w:hAnsi="Baskerville Old Face"/>
                <w:b/>
                <w:i/>
                <w:sz w:val="18"/>
              </w:rPr>
              <w:t xml:space="preserve">12 </w:t>
            </w:r>
            <w:r w:rsidRPr="00971181">
              <w:rPr>
                <w:rFonts w:ascii="Baskerville Old Face" w:hAnsi="Baskerville Old Face"/>
                <w:b/>
                <w:i/>
                <w:sz w:val="18"/>
              </w:rPr>
              <w:t>April 2026</w:t>
            </w:r>
          </w:p>
          <w:p w14:paraId="5988B098" w14:textId="77777777" w:rsidR="0084183F" w:rsidRPr="00971181" w:rsidRDefault="0084183F" w:rsidP="0084183F">
            <w:pPr>
              <w:ind w:left="-108"/>
              <w:rPr>
                <w:rFonts w:ascii="Baskerville Old Face" w:eastAsia="Cambria" w:hAnsi="Baskerville Old Face" w:cs="Cambria"/>
                <w:sz w:val="22"/>
                <w:szCs w:val="22"/>
              </w:rPr>
            </w:pPr>
            <w:r w:rsidRPr="00971181">
              <w:rPr>
                <w:rFonts w:ascii="Baskerville Old Face" w:hAnsi="Baskerville Old Face"/>
                <w:i/>
                <w:sz w:val="18"/>
              </w:rPr>
              <w:t>Accepted for publication:</w:t>
            </w:r>
          </w:p>
          <w:p w14:paraId="6BEB95DA" w14:textId="7C7710C3" w:rsidR="0084183F" w:rsidRPr="00971181" w:rsidRDefault="0084183F" w:rsidP="0084183F">
            <w:pPr>
              <w:ind w:left="-108"/>
              <w:rPr>
                <w:rFonts w:ascii="Baskerville Old Face" w:eastAsia="Cambria" w:hAnsi="Baskerville Old Face" w:cs="Cambria"/>
                <w:b/>
                <w:i/>
                <w:sz w:val="18"/>
                <w:szCs w:val="18"/>
              </w:rPr>
            </w:pPr>
            <w:r w:rsidRPr="00971181">
              <w:rPr>
                <w:rFonts w:ascii="Baskerville Old Face" w:hAnsi="Baskerville Old Face"/>
                <w:b/>
                <w:i/>
                <w:sz w:val="18"/>
              </w:rPr>
              <w:t>1</w:t>
            </w:r>
            <w:r>
              <w:rPr>
                <w:rFonts w:ascii="Baskerville Old Face" w:hAnsi="Baskerville Old Face"/>
                <w:b/>
                <w:i/>
                <w:sz w:val="18"/>
              </w:rPr>
              <w:t xml:space="preserve">8 </w:t>
            </w:r>
            <w:r w:rsidRPr="00971181">
              <w:rPr>
                <w:rFonts w:ascii="Baskerville Old Face" w:hAnsi="Baskerville Old Face"/>
                <w:b/>
                <w:i/>
                <w:sz w:val="18"/>
              </w:rPr>
              <w:t>May 2026</w:t>
            </w:r>
          </w:p>
          <w:p w14:paraId="153D7E9F" w14:textId="77777777" w:rsidR="001545D9" w:rsidRPr="00D47213" w:rsidRDefault="001545D9">
            <w:pPr>
              <w:ind w:left="-68"/>
              <w:rPr>
                <w:rFonts w:ascii="Baskerville Old Face" w:eastAsia="Cambria" w:hAnsi="Baskerville Old Face" w:cs="Cambria"/>
              </w:rPr>
            </w:pPr>
          </w:p>
          <w:p w14:paraId="732F46DE" w14:textId="77777777" w:rsidR="001545D9" w:rsidRPr="00D47213" w:rsidRDefault="001545D9">
            <w:pPr>
              <w:ind w:left="-68"/>
              <w:rPr>
                <w:rFonts w:ascii="Baskerville Old Face" w:eastAsia="Cambria" w:hAnsi="Baskerville Old Face" w:cs="Cambria"/>
              </w:rPr>
            </w:pPr>
          </w:p>
          <w:p w14:paraId="23F991A2" w14:textId="77777777" w:rsidR="007F2A86" w:rsidRPr="00D47213" w:rsidRDefault="007F2A86" w:rsidP="007F2A86">
            <w:pPr>
              <w:rPr>
                <w:rFonts w:ascii="Baskerville Old Face" w:eastAsia="Cambria" w:hAnsi="Baskerville Old Face" w:cs="Cambria"/>
              </w:rPr>
            </w:pPr>
          </w:p>
          <w:p w14:paraId="7764A480" w14:textId="77777777" w:rsidR="007F2A86" w:rsidRPr="00D47213" w:rsidRDefault="007F2A86">
            <w:pPr>
              <w:ind w:left="-68"/>
              <w:rPr>
                <w:rFonts w:ascii="Baskerville Old Face" w:eastAsia="Cambria" w:hAnsi="Baskerville Old Face" w:cs="Cambria"/>
              </w:rPr>
            </w:pPr>
          </w:p>
        </w:tc>
        <w:tc>
          <w:tcPr>
            <w:tcW w:w="288" w:type="dxa"/>
            <w:vMerge w:val="restart"/>
            <w:tcBorders>
              <w:top w:val="nil"/>
              <w:left w:val="nil"/>
              <w:bottom w:val="nil"/>
              <w:right w:val="nil"/>
            </w:tcBorders>
          </w:tcPr>
          <w:p w14:paraId="6B07AFE5" w14:textId="77777777" w:rsidR="001545D9" w:rsidRPr="00D47213" w:rsidRDefault="001545D9">
            <w:pPr>
              <w:spacing w:before="120"/>
              <w:jc w:val="both"/>
              <w:rPr>
                <w:rFonts w:ascii="Baskerville Old Face" w:eastAsia="Cambria" w:hAnsi="Baskerville Old Face" w:cs="Cambria"/>
              </w:rPr>
            </w:pPr>
          </w:p>
        </w:tc>
        <w:tc>
          <w:tcPr>
            <w:tcW w:w="6948" w:type="dxa"/>
            <w:vMerge w:val="restart"/>
            <w:tcBorders>
              <w:top w:val="single" w:sz="4" w:space="0" w:color="000000"/>
              <w:left w:val="nil"/>
              <w:bottom w:val="nil"/>
              <w:right w:val="nil"/>
            </w:tcBorders>
          </w:tcPr>
          <w:p w14:paraId="20F3C587" w14:textId="4550096A" w:rsidR="007F2A86" w:rsidRPr="00D47213" w:rsidRDefault="00B04DEA" w:rsidP="00B04DEA">
            <w:pPr>
              <w:spacing w:before="120"/>
              <w:ind w:left="-107" w:right="-108"/>
              <w:jc w:val="both"/>
              <w:rPr>
                <w:rFonts w:ascii="Baskerville Old Face" w:eastAsia="Cambria" w:hAnsi="Baskerville Old Face" w:cs="Cambria"/>
                <w:b/>
                <w:bCs/>
                <w:lang w:val="en-ID"/>
              </w:rPr>
            </w:pPr>
            <w:r w:rsidRPr="00D47213">
              <w:rPr>
                <w:rFonts w:ascii="Baskerville Old Face" w:eastAsia="Cambria" w:hAnsi="Baskerville Old Face" w:cs="Cambria"/>
                <w:lang w:val="en-ID"/>
              </w:rPr>
              <w:t>This study aims to analyze the effect of information and communication technology use and the quality of school facilities and infrastructure on learning quality in public elementary schools in Muara Telang District, Banyuasin Regency. The study employed a quantitative approach with an explanatory research design. The population comprised of teachers in public elementary schools in Muara Telang District, and the sample was selected using a cluster sampling technique based on the geographical distribution of schools. Data were collected through a Likert-scale questionnaire that had been tested for validity and reliability, and then analyzed using multiple linear regression to examine the partial and simultaneous effects among variables.</w:t>
            </w:r>
            <w:r w:rsidRPr="00D47213">
              <w:rPr>
                <w:rFonts w:ascii="Baskerville Old Face" w:eastAsia="Cambria" w:hAnsi="Baskerville Old Face" w:cs="Cambria"/>
                <w:b/>
                <w:bCs/>
                <w:lang w:val="en-ID"/>
              </w:rPr>
              <w:t xml:space="preserve"> </w:t>
            </w:r>
            <w:r w:rsidRPr="00D47213">
              <w:rPr>
                <w:rFonts w:ascii="Baskerville Old Face" w:eastAsia="Cambria" w:hAnsi="Baskerville Old Face" w:cs="Cambria"/>
                <w:lang w:val="en-ID"/>
              </w:rPr>
              <w:t>Theoretically, ICT use is expected to broaden access to learning resources, enhance classroom interaction, and improve instructional efficiency. Meanwhile, the quality of school facilities and infrastructure is assumed to create a safe, comfortable, and conducive learning environment for effective instruction. The findings are expected to indicate that both independent variables have a positive and significant effect on learning quality, both individually and jointly. These findings emphasize that improving basic education quality requires strengthening teachers' ICT utilization competence and improving school facilities and infrastructure in a planned and sustainable manner.</w:t>
            </w:r>
          </w:p>
        </w:tc>
      </w:tr>
      <w:tr w:rsidR="001545D9" w:rsidRPr="00D47213" w14:paraId="680130F5" w14:textId="77777777" w:rsidTr="00815BD0">
        <w:trPr>
          <w:trHeight w:val="1189"/>
        </w:trPr>
        <w:tc>
          <w:tcPr>
            <w:tcW w:w="2315" w:type="dxa"/>
            <w:vMerge w:val="restart"/>
            <w:tcBorders>
              <w:top w:val="single" w:sz="4" w:space="0" w:color="000000"/>
              <w:left w:val="nil"/>
              <w:bottom w:val="single" w:sz="4" w:space="0" w:color="000000"/>
              <w:right w:val="nil"/>
            </w:tcBorders>
          </w:tcPr>
          <w:p w14:paraId="2BFCE618" w14:textId="77777777" w:rsidR="001545D9" w:rsidRPr="00D47213" w:rsidRDefault="003C495F">
            <w:pPr>
              <w:spacing w:before="120" w:after="120"/>
              <w:ind w:left="-108"/>
              <w:rPr>
                <w:rFonts w:ascii="Baskerville Old Face" w:eastAsia="Cambria" w:hAnsi="Baskerville Old Face" w:cs="Cambria"/>
                <w:b/>
                <w:i/>
              </w:rPr>
            </w:pPr>
            <w:bookmarkStart w:id="1" w:name="bookmark=id.30j0zll" w:colFirst="0" w:colLast="0"/>
            <w:bookmarkEnd w:id="1"/>
            <w:r w:rsidRPr="00D47213">
              <w:rPr>
                <w:rFonts w:ascii="Baskerville Old Face" w:eastAsia="Cambria" w:hAnsi="Baskerville Old Face" w:cs="Cambria"/>
                <w:b/>
                <w:i/>
              </w:rPr>
              <w:t>Keywords</w:t>
            </w:r>
          </w:p>
          <w:p w14:paraId="1087A3ED" w14:textId="698623BE" w:rsidR="001545D9" w:rsidRPr="00D47213" w:rsidRDefault="00B04DEA" w:rsidP="00C636FB">
            <w:pPr>
              <w:ind w:left="-108"/>
              <w:jc w:val="both"/>
              <w:rPr>
                <w:rFonts w:ascii="Baskerville Old Face" w:eastAsia="Cambria" w:hAnsi="Baskerville Old Face" w:cs="Cambria"/>
                <w:i/>
              </w:rPr>
            </w:pPr>
            <w:r w:rsidRPr="00D47213">
              <w:rPr>
                <w:rFonts w:ascii="Baskerville Old Face" w:eastAsia="Cambria" w:hAnsi="Baskerville Old Face" w:cs="Cambria"/>
                <w:i/>
                <w:iCs/>
              </w:rPr>
              <w:t>Information And Communication Technology, Facilities And Infrastructure, Learning Quality, Elementary School</w:t>
            </w:r>
          </w:p>
        </w:tc>
        <w:tc>
          <w:tcPr>
            <w:tcW w:w="288" w:type="dxa"/>
            <w:vMerge/>
            <w:tcBorders>
              <w:top w:val="nil"/>
              <w:left w:val="nil"/>
              <w:bottom w:val="nil"/>
              <w:right w:val="nil"/>
            </w:tcBorders>
          </w:tcPr>
          <w:p w14:paraId="3EA86535" w14:textId="77777777" w:rsidR="001545D9" w:rsidRPr="00D47213" w:rsidRDefault="001545D9">
            <w:pPr>
              <w:widowControl w:val="0"/>
              <w:pBdr>
                <w:top w:val="nil"/>
                <w:left w:val="nil"/>
                <w:bottom w:val="nil"/>
                <w:right w:val="nil"/>
                <w:between w:val="nil"/>
              </w:pBdr>
              <w:spacing w:line="276" w:lineRule="auto"/>
              <w:rPr>
                <w:rFonts w:ascii="Baskerville Old Face" w:eastAsia="Cambria" w:hAnsi="Baskerville Old Face" w:cs="Cambria"/>
                <w:b/>
                <w:i/>
              </w:rPr>
            </w:pPr>
          </w:p>
        </w:tc>
        <w:tc>
          <w:tcPr>
            <w:tcW w:w="6948" w:type="dxa"/>
            <w:vMerge/>
            <w:tcBorders>
              <w:top w:val="single" w:sz="4" w:space="0" w:color="000000"/>
              <w:left w:val="nil"/>
              <w:bottom w:val="nil"/>
              <w:right w:val="nil"/>
            </w:tcBorders>
          </w:tcPr>
          <w:p w14:paraId="5D3F7F3D" w14:textId="77777777" w:rsidR="001545D9" w:rsidRPr="00D47213" w:rsidRDefault="001545D9">
            <w:pPr>
              <w:widowControl w:val="0"/>
              <w:pBdr>
                <w:top w:val="nil"/>
                <w:left w:val="nil"/>
                <w:bottom w:val="nil"/>
                <w:right w:val="nil"/>
                <w:between w:val="nil"/>
              </w:pBdr>
              <w:spacing w:line="276" w:lineRule="auto"/>
              <w:rPr>
                <w:rFonts w:ascii="Baskerville Old Face" w:eastAsia="Cambria" w:hAnsi="Baskerville Old Face" w:cs="Cambria"/>
                <w:b/>
                <w:i/>
              </w:rPr>
            </w:pPr>
          </w:p>
        </w:tc>
      </w:tr>
      <w:tr w:rsidR="001545D9" w:rsidRPr="00D47213" w14:paraId="08E3B85E" w14:textId="77777777" w:rsidTr="000F089E">
        <w:trPr>
          <w:trHeight w:val="1096"/>
        </w:trPr>
        <w:tc>
          <w:tcPr>
            <w:tcW w:w="2315" w:type="dxa"/>
            <w:vMerge/>
            <w:tcBorders>
              <w:top w:val="single" w:sz="4" w:space="0" w:color="000000"/>
              <w:left w:val="nil"/>
              <w:bottom w:val="single" w:sz="4" w:space="0" w:color="000000"/>
              <w:right w:val="nil"/>
            </w:tcBorders>
          </w:tcPr>
          <w:p w14:paraId="10C01321" w14:textId="77777777" w:rsidR="001545D9" w:rsidRPr="00D47213" w:rsidRDefault="001545D9" w:rsidP="000F089E">
            <w:pPr>
              <w:widowControl w:val="0"/>
              <w:pBdr>
                <w:top w:val="nil"/>
                <w:left w:val="nil"/>
                <w:bottom w:val="nil"/>
                <w:right w:val="nil"/>
                <w:between w:val="nil"/>
              </w:pBdr>
              <w:spacing w:line="276" w:lineRule="auto"/>
              <w:rPr>
                <w:rFonts w:ascii="Baskerville Old Face" w:eastAsia="Cambria" w:hAnsi="Baskerville Old Face" w:cs="Cambria"/>
                <w:b/>
                <w:i/>
              </w:rPr>
            </w:pPr>
          </w:p>
        </w:tc>
        <w:tc>
          <w:tcPr>
            <w:tcW w:w="288" w:type="dxa"/>
            <w:vMerge/>
            <w:tcBorders>
              <w:top w:val="nil"/>
              <w:left w:val="nil"/>
              <w:bottom w:val="nil"/>
              <w:right w:val="nil"/>
            </w:tcBorders>
          </w:tcPr>
          <w:p w14:paraId="33AA9096" w14:textId="77777777" w:rsidR="001545D9" w:rsidRPr="00D47213" w:rsidRDefault="001545D9" w:rsidP="000F089E">
            <w:pPr>
              <w:widowControl w:val="0"/>
              <w:pBdr>
                <w:top w:val="nil"/>
                <w:left w:val="nil"/>
                <w:bottom w:val="nil"/>
                <w:right w:val="nil"/>
                <w:between w:val="nil"/>
              </w:pBdr>
              <w:spacing w:line="276" w:lineRule="auto"/>
              <w:rPr>
                <w:rFonts w:ascii="Baskerville Old Face" w:eastAsia="Cambria" w:hAnsi="Baskerville Old Face" w:cs="Cambria"/>
                <w:b/>
                <w:i/>
              </w:rPr>
            </w:pPr>
          </w:p>
        </w:tc>
        <w:tc>
          <w:tcPr>
            <w:tcW w:w="6948" w:type="dxa"/>
            <w:tcBorders>
              <w:top w:val="nil"/>
              <w:left w:val="nil"/>
              <w:bottom w:val="nil"/>
              <w:right w:val="nil"/>
            </w:tcBorders>
          </w:tcPr>
          <w:p w14:paraId="31799BCA" w14:textId="77777777" w:rsidR="001545D9" w:rsidRPr="00D47213" w:rsidRDefault="001545D9" w:rsidP="000F089E">
            <w:pPr>
              <w:ind w:right="-108"/>
              <w:jc w:val="right"/>
              <w:rPr>
                <w:rFonts w:ascii="Baskerville Old Face" w:eastAsia="Cambria" w:hAnsi="Baskerville Old Face" w:cs="Cambria"/>
                <w:i/>
                <w:highlight w:val="white"/>
              </w:rPr>
            </w:pPr>
          </w:p>
          <w:p w14:paraId="6C8CE69B" w14:textId="4F9B7D6C" w:rsidR="00815BD0" w:rsidRPr="00D47213" w:rsidRDefault="000859AB" w:rsidP="000859AB">
            <w:pPr>
              <w:ind w:right="-108"/>
              <w:jc w:val="center"/>
              <w:rPr>
                <w:rFonts w:ascii="Baskerville Old Face" w:eastAsia="Cambria" w:hAnsi="Baskerville Old Face" w:cs="Cambria"/>
                <w:i/>
                <w:sz w:val="16"/>
                <w:szCs w:val="16"/>
              </w:rPr>
            </w:pPr>
            <w:r w:rsidRPr="00D47213">
              <w:rPr>
                <w:rFonts w:ascii="Baskerville Old Face" w:eastAsia="Cambria" w:hAnsi="Baskerville Old Face" w:cs="Cambria"/>
                <w:i/>
                <w:sz w:val="16"/>
                <w:szCs w:val="16"/>
                <w:lang w:val="en-ID"/>
              </w:rPr>
              <w:t>Copyright</w:t>
            </w:r>
            <w:r w:rsidR="00815BD0" w:rsidRPr="00D47213">
              <w:rPr>
                <w:rFonts w:ascii="Baskerville Old Face" w:eastAsia="Cambria" w:hAnsi="Baskerville Old Face" w:cs="Cambria"/>
                <w:i/>
                <w:sz w:val="16"/>
                <w:szCs w:val="16"/>
              </w:rPr>
              <w:t xml:space="preserve"> </w:t>
            </w:r>
            <w:r w:rsidR="00815BD0" w:rsidRPr="00D47213">
              <w:rPr>
                <w:rFonts w:ascii="Baskerville Old Face" w:eastAsia="Cambria" w:hAnsi="Baskerville Old Face" w:cs="Cambria"/>
                <w:i/>
                <w:sz w:val="16"/>
                <w:szCs w:val="16"/>
                <w:lang w:val="en-ID"/>
              </w:rPr>
              <w:t>©</w:t>
            </w:r>
            <w:r w:rsidR="00815BD0" w:rsidRPr="00D47213">
              <w:rPr>
                <w:rFonts w:ascii="Baskerville Old Face" w:eastAsia="Cambria" w:hAnsi="Baskerville Old Face" w:cs="Cambria"/>
                <w:i/>
                <w:sz w:val="16"/>
                <w:szCs w:val="16"/>
              </w:rPr>
              <w:t xml:space="preserve"> </w:t>
            </w:r>
            <w:r w:rsidR="00815BD0" w:rsidRPr="00D47213">
              <w:rPr>
                <w:rFonts w:ascii="Baskerville Old Face" w:eastAsia="Cambria" w:hAnsi="Baskerville Old Face" w:cs="Cambria"/>
                <w:i/>
                <w:sz w:val="16"/>
                <w:szCs w:val="16"/>
                <w:lang w:val="en-ID"/>
              </w:rPr>
              <w:t>2025</w:t>
            </w:r>
            <w:r w:rsidR="00D10F08">
              <w:rPr>
                <w:rFonts w:ascii="Baskerville Old Face" w:eastAsia="Cambria" w:hAnsi="Baskerville Old Face" w:cs="Cambria"/>
                <w:i/>
                <w:sz w:val="16"/>
                <w:szCs w:val="16"/>
                <w:lang w:val="en-ID"/>
              </w:rPr>
              <w:t>,</w:t>
            </w:r>
            <w:r w:rsidR="00815BD0" w:rsidRPr="00D47213">
              <w:rPr>
                <w:rFonts w:ascii="Baskerville Old Face" w:eastAsia="Cambria" w:hAnsi="Baskerville Old Face" w:cs="Cambria"/>
                <w:i/>
                <w:sz w:val="16"/>
                <w:szCs w:val="16"/>
              </w:rPr>
              <w:t xml:space="preserve"> </w:t>
            </w:r>
            <w:r w:rsidR="00815BD0" w:rsidRPr="00D47213">
              <w:rPr>
                <w:rFonts w:ascii="Baskerville Old Face" w:eastAsia="Cambria" w:hAnsi="Baskerville Old Face" w:cs="Cambria"/>
                <w:i/>
                <w:sz w:val="16"/>
                <w:szCs w:val="16"/>
                <w:lang w:val="en-ID"/>
              </w:rPr>
              <w:t>The Author(s).</w:t>
            </w:r>
          </w:p>
          <w:p w14:paraId="7477B8C6" w14:textId="19871F7E" w:rsidR="00815BD0" w:rsidRPr="00D47213" w:rsidRDefault="00815BD0" w:rsidP="000859AB">
            <w:pPr>
              <w:ind w:right="-48"/>
              <w:jc w:val="right"/>
              <w:rPr>
                <w:rFonts w:ascii="Baskerville Old Face" w:eastAsia="Cambria" w:hAnsi="Baskerville Old Face" w:cs="Cambria"/>
                <w:i/>
                <w:sz w:val="16"/>
                <w:szCs w:val="16"/>
                <w:lang w:val="en-ID"/>
              </w:rPr>
            </w:pPr>
            <w:r w:rsidRPr="00D47213">
              <w:rPr>
                <w:rFonts w:ascii="Baskerville Old Face" w:eastAsia="Cambria" w:hAnsi="Baskerville Old Face" w:cs="Cambria"/>
                <w:i/>
                <w:sz w:val="16"/>
                <w:szCs w:val="16"/>
                <w:lang w:val="en-ID"/>
              </w:rPr>
              <w:t>This is an open access article under the BY-NC-ND license</w:t>
            </w:r>
          </w:p>
          <w:p w14:paraId="2F41C307" w14:textId="04376221" w:rsidR="001545D9" w:rsidRPr="00D47213" w:rsidRDefault="000859AB" w:rsidP="000859AB">
            <w:pPr>
              <w:ind w:right="-108"/>
              <w:jc w:val="right"/>
              <w:rPr>
                <w:rFonts w:ascii="Baskerville Old Face" w:eastAsia="Cambria" w:hAnsi="Baskerville Old Face" w:cs="Cambria"/>
                <w:i/>
              </w:rPr>
            </w:pPr>
            <w:r w:rsidRPr="00D47213">
              <w:rPr>
                <w:rFonts w:ascii="Baskerville Old Face" w:hAnsi="Baskerville Old Face"/>
                <w:noProof/>
              </w:rPr>
              <w:drawing>
                <wp:inline distT="0" distB="0" distL="0" distR="0" wp14:anchorId="48F6590E" wp14:editId="4E4A898D">
                  <wp:extent cx="571500" cy="203489"/>
                  <wp:effectExtent l="0" t="0" r="0" b="6350"/>
                  <wp:docPr id="162034522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734" cy="204641"/>
                          </a:xfrm>
                          <a:prstGeom prst="rect">
                            <a:avLst/>
                          </a:prstGeom>
                          <a:noFill/>
                          <a:ln>
                            <a:noFill/>
                          </a:ln>
                        </pic:spPr>
                      </pic:pic>
                    </a:graphicData>
                  </a:graphic>
                </wp:inline>
              </w:drawing>
            </w:r>
            <w:hyperlink r:id="rId11" w:tgtFrame="_blank" w:history="1"/>
          </w:p>
        </w:tc>
      </w:tr>
      <w:tr w:rsidR="001545D9" w:rsidRPr="00D47213" w14:paraId="4D25E225" w14:textId="77777777" w:rsidTr="0084183F">
        <w:trPr>
          <w:trHeight w:val="70"/>
        </w:trPr>
        <w:tc>
          <w:tcPr>
            <w:tcW w:w="9553" w:type="dxa"/>
            <w:gridSpan w:val="3"/>
            <w:tcBorders>
              <w:top w:val="nil"/>
              <w:left w:val="nil"/>
              <w:bottom w:val="single" w:sz="4" w:space="0" w:color="000000"/>
              <w:right w:val="nil"/>
            </w:tcBorders>
          </w:tcPr>
          <w:p w14:paraId="232492F1" w14:textId="77777777" w:rsidR="001545D9" w:rsidRPr="00D47213" w:rsidRDefault="001545D9" w:rsidP="000F089E">
            <w:pPr>
              <w:ind w:right="-108"/>
              <w:rPr>
                <w:rFonts w:ascii="Baskerville Old Face" w:eastAsia="Cambria" w:hAnsi="Baskerville Old Face" w:cs="Cambria"/>
                <w:sz w:val="2"/>
                <w:szCs w:val="2"/>
              </w:rPr>
            </w:pPr>
          </w:p>
        </w:tc>
      </w:tr>
    </w:tbl>
    <w:p w14:paraId="416180EE" w14:textId="77777777" w:rsidR="001545D9" w:rsidRPr="00D47213" w:rsidRDefault="001545D9" w:rsidP="000F089E">
      <w:pPr>
        <w:shd w:val="clear" w:color="auto" w:fill="FFFFFF"/>
        <w:ind w:right="51"/>
        <w:rPr>
          <w:rFonts w:ascii="Baskerville Old Face" w:eastAsia="Cambria" w:hAnsi="Baskerville Old Face" w:cs="Cambria"/>
          <w:b/>
          <w:sz w:val="10"/>
          <w:szCs w:val="10"/>
        </w:rPr>
      </w:pPr>
    </w:p>
    <w:p w14:paraId="56D6EA8C" w14:textId="77777777" w:rsidR="007F2A86" w:rsidRPr="00D47213" w:rsidRDefault="007F2A86" w:rsidP="007F2A86">
      <w:pPr>
        <w:shd w:val="clear" w:color="auto" w:fill="FFFFFF" w:themeFill="background1"/>
        <w:spacing w:after="40"/>
        <w:ind w:right="51"/>
        <w:rPr>
          <w:rFonts w:ascii="Baskerville Old Face" w:eastAsiaTheme="majorEastAsia" w:hAnsi="Baskerville Old Face"/>
          <w:b/>
          <w:bCs/>
        </w:rPr>
      </w:pPr>
      <w:r w:rsidRPr="00D47213">
        <w:rPr>
          <w:rFonts w:ascii="Baskerville Old Face" w:eastAsiaTheme="majorEastAsia" w:hAnsi="Baskerville Old Face"/>
          <w:b/>
          <w:bCs/>
        </w:rPr>
        <w:t>Contents</w:t>
      </w:r>
    </w:p>
    <w:p w14:paraId="0DF0CEE9" w14:textId="31B2388F" w:rsidR="007F2A86" w:rsidRPr="00D47213" w:rsidRDefault="007F2A86" w:rsidP="007F2A86">
      <w:pPr>
        <w:shd w:val="clear" w:color="auto" w:fill="FDE9D9" w:themeFill="accent6" w:themeFillTint="33"/>
        <w:tabs>
          <w:tab w:val="left" w:leader="dot" w:pos="8931"/>
          <w:tab w:val="right" w:pos="9355"/>
        </w:tabs>
        <w:ind w:right="51"/>
        <w:rPr>
          <w:rFonts w:ascii="Baskerville Old Face" w:hAnsi="Baskerville Old Face"/>
        </w:rPr>
      </w:pPr>
      <w:r w:rsidRPr="00D47213">
        <w:rPr>
          <w:rFonts w:ascii="Baskerville Old Face" w:hAnsi="Baskerville Old Face"/>
        </w:rPr>
        <w:t xml:space="preserve">Abstract ………………………………………………………………………………………………………………………………………… </w:t>
      </w:r>
      <w:r w:rsidR="00710F4C" w:rsidRPr="00D47213">
        <w:rPr>
          <w:rFonts w:ascii="Baskerville Old Face" w:hAnsi="Baskerville Old Face"/>
        </w:rPr>
        <w:tab/>
      </w:r>
      <w:r w:rsidR="00AE26C9">
        <w:rPr>
          <w:rFonts w:ascii="Baskerville Old Face" w:hAnsi="Baskerville Old Face"/>
        </w:rPr>
        <w:t xml:space="preserve"> 680</w:t>
      </w:r>
    </w:p>
    <w:p w14:paraId="6A3E7026" w14:textId="396F034D" w:rsidR="007F2A86" w:rsidRPr="00D47213" w:rsidRDefault="007F2A86" w:rsidP="007F2A86">
      <w:pPr>
        <w:shd w:val="clear" w:color="auto" w:fill="FDE9D9" w:themeFill="accent6" w:themeFillTint="33"/>
        <w:tabs>
          <w:tab w:val="left" w:leader="dot" w:pos="8931"/>
          <w:tab w:val="left" w:pos="9333"/>
        </w:tabs>
        <w:ind w:left="284" w:right="51" w:hanging="284"/>
        <w:rPr>
          <w:rFonts w:ascii="Baskerville Old Face" w:hAnsi="Baskerville Old Face"/>
        </w:rPr>
      </w:pPr>
      <w:r w:rsidRPr="00D47213">
        <w:rPr>
          <w:rFonts w:ascii="Baskerville Old Face" w:hAnsi="Baskerville Old Face"/>
        </w:rPr>
        <w:t xml:space="preserve">Introduction …………………………………………………………………………………………………………………………….. </w:t>
      </w:r>
      <w:r w:rsidR="002B6A91" w:rsidRPr="00D47213">
        <w:rPr>
          <w:rFonts w:ascii="Baskerville Old Face" w:hAnsi="Baskerville Old Face"/>
        </w:rPr>
        <w:tab/>
      </w:r>
      <w:r w:rsidR="00AE26C9">
        <w:rPr>
          <w:rFonts w:ascii="Baskerville Old Face" w:hAnsi="Baskerville Old Face"/>
        </w:rPr>
        <w:t xml:space="preserve"> 681</w:t>
      </w:r>
    </w:p>
    <w:p w14:paraId="786141C9" w14:textId="7E794A62" w:rsidR="007F2A86" w:rsidRPr="00D47213" w:rsidRDefault="007F2A86" w:rsidP="007F2A86">
      <w:pPr>
        <w:shd w:val="clear" w:color="auto" w:fill="FDE9D9" w:themeFill="accent6" w:themeFillTint="33"/>
        <w:tabs>
          <w:tab w:val="left" w:leader="dot" w:pos="8931"/>
          <w:tab w:val="left" w:pos="9333"/>
        </w:tabs>
        <w:ind w:left="284" w:right="51" w:hanging="284"/>
        <w:rPr>
          <w:rFonts w:ascii="Baskerville Old Face" w:hAnsi="Baskerville Old Face"/>
        </w:rPr>
      </w:pPr>
      <w:r w:rsidRPr="00D47213">
        <w:rPr>
          <w:rFonts w:ascii="Baskerville Old Face" w:hAnsi="Baskerville Old Face"/>
          <w:bCs/>
        </w:rPr>
        <w:t xml:space="preserve">Methods </w:t>
      </w:r>
      <w:r w:rsidR="002B6A91" w:rsidRPr="00D47213">
        <w:rPr>
          <w:rFonts w:ascii="Baskerville Old Face" w:hAnsi="Baskerville Old Face"/>
        </w:rPr>
        <w:t xml:space="preserve">………………………………………………………………………………………………………………………………………… </w:t>
      </w:r>
      <w:r w:rsidR="002B6A91" w:rsidRPr="00D47213">
        <w:rPr>
          <w:rFonts w:ascii="Baskerville Old Face" w:hAnsi="Baskerville Old Face"/>
        </w:rPr>
        <w:tab/>
      </w:r>
      <w:r w:rsidR="00AE26C9">
        <w:rPr>
          <w:rFonts w:ascii="Baskerville Old Face" w:hAnsi="Baskerville Old Face"/>
        </w:rPr>
        <w:t xml:space="preserve"> 684</w:t>
      </w:r>
    </w:p>
    <w:p w14:paraId="4625B002" w14:textId="55C13E92" w:rsidR="007F2A86" w:rsidRPr="00D47213" w:rsidRDefault="007F2A86" w:rsidP="007F2A86">
      <w:pPr>
        <w:shd w:val="clear" w:color="auto" w:fill="FDE9D9" w:themeFill="accent6" w:themeFillTint="33"/>
        <w:tabs>
          <w:tab w:val="left" w:leader="dot" w:pos="8931"/>
          <w:tab w:val="left" w:pos="9333"/>
        </w:tabs>
        <w:ind w:left="284" w:right="51" w:hanging="284"/>
        <w:rPr>
          <w:rFonts w:ascii="Baskerville Old Face" w:hAnsi="Baskerville Old Face"/>
        </w:rPr>
      </w:pPr>
      <w:r w:rsidRPr="00D47213">
        <w:rPr>
          <w:rFonts w:ascii="Baskerville Old Face" w:hAnsi="Baskerville Old Face"/>
          <w:bCs/>
        </w:rPr>
        <w:t xml:space="preserve">Results and Discussions </w:t>
      </w:r>
      <w:r w:rsidR="002B6A91" w:rsidRPr="00D47213">
        <w:rPr>
          <w:rFonts w:ascii="Baskerville Old Face" w:hAnsi="Baskerville Old Face"/>
        </w:rPr>
        <w:t xml:space="preserve">…………………………………………………………………………………………………………………… </w:t>
      </w:r>
      <w:r w:rsidR="002B6A91" w:rsidRPr="00D47213">
        <w:rPr>
          <w:rFonts w:ascii="Baskerville Old Face" w:hAnsi="Baskerville Old Face"/>
        </w:rPr>
        <w:tab/>
      </w:r>
      <w:r w:rsidR="00AE26C9">
        <w:rPr>
          <w:rFonts w:ascii="Baskerville Old Face" w:hAnsi="Baskerville Old Face"/>
        </w:rPr>
        <w:t xml:space="preserve"> 685</w:t>
      </w:r>
    </w:p>
    <w:p w14:paraId="2EDE1D76" w14:textId="5D7EDD77" w:rsidR="007F2A86" w:rsidRPr="00D47213" w:rsidRDefault="007F2A86" w:rsidP="007F2A86">
      <w:pPr>
        <w:shd w:val="clear" w:color="auto" w:fill="FDE9D9" w:themeFill="accent6" w:themeFillTint="33"/>
        <w:tabs>
          <w:tab w:val="left" w:leader="dot" w:pos="8931"/>
          <w:tab w:val="left" w:pos="9333"/>
        </w:tabs>
        <w:ind w:left="284" w:right="51" w:hanging="284"/>
        <w:rPr>
          <w:rFonts w:ascii="Baskerville Old Face" w:hAnsi="Baskerville Old Face"/>
          <w:bCs/>
        </w:rPr>
      </w:pPr>
      <w:r w:rsidRPr="00D47213">
        <w:rPr>
          <w:rFonts w:ascii="Baskerville Old Face" w:hAnsi="Baskerville Old Face"/>
          <w:bCs/>
        </w:rPr>
        <w:t xml:space="preserve">Conclusion </w:t>
      </w:r>
      <w:r w:rsidR="002B6A91" w:rsidRPr="00D47213">
        <w:rPr>
          <w:rFonts w:ascii="Baskerville Old Face" w:hAnsi="Baskerville Old Face"/>
        </w:rPr>
        <w:t xml:space="preserve">………………………………………………………………………………………………………………………… </w:t>
      </w:r>
      <w:r w:rsidRPr="00D47213">
        <w:rPr>
          <w:rFonts w:ascii="Baskerville Old Face" w:hAnsi="Baskerville Old Face"/>
          <w:bCs/>
        </w:rPr>
        <w:tab/>
      </w:r>
      <w:r w:rsidR="00AE26C9">
        <w:rPr>
          <w:rFonts w:ascii="Baskerville Old Face" w:hAnsi="Baskerville Old Face"/>
          <w:bCs/>
        </w:rPr>
        <w:t xml:space="preserve"> 695</w:t>
      </w:r>
    </w:p>
    <w:p w14:paraId="1D86CB8E" w14:textId="27F6AFB4" w:rsidR="001545D9" w:rsidRPr="00D47213" w:rsidRDefault="007F2A86" w:rsidP="007F2A86">
      <w:pPr>
        <w:shd w:val="clear" w:color="auto" w:fill="FDE9D9" w:themeFill="accent6" w:themeFillTint="33"/>
        <w:tabs>
          <w:tab w:val="left" w:leader="dot" w:pos="8931"/>
          <w:tab w:val="left" w:pos="9333"/>
        </w:tabs>
        <w:ind w:left="284" w:right="51" w:hanging="284"/>
        <w:rPr>
          <w:rFonts w:ascii="Baskerville Old Face" w:hAnsi="Baskerville Old Face"/>
        </w:rPr>
      </w:pPr>
      <w:r w:rsidRPr="00D47213">
        <w:rPr>
          <w:rStyle w:val="apple-style-span"/>
          <w:rFonts w:ascii="Baskerville Old Face" w:hAnsi="Baskerville Old Face"/>
        </w:rPr>
        <w:t xml:space="preserve">Reference </w:t>
      </w:r>
      <w:r w:rsidRPr="00D47213">
        <w:rPr>
          <w:rStyle w:val="apple-style-span"/>
          <w:rFonts w:ascii="Baskerville Old Face" w:hAnsi="Baskerville Old Face"/>
        </w:rPr>
        <w:tab/>
      </w:r>
      <w:r w:rsidR="00AE26C9">
        <w:rPr>
          <w:rStyle w:val="apple-style-span"/>
          <w:rFonts w:ascii="Baskerville Old Face" w:hAnsi="Baskerville Old Face"/>
        </w:rPr>
        <w:t xml:space="preserve"> 696</w:t>
      </w:r>
    </w:p>
    <w:p w14:paraId="76487E32" w14:textId="77777777" w:rsidR="007F2A86" w:rsidRPr="00D47213" w:rsidRDefault="007F2A86" w:rsidP="007F2A86">
      <w:pPr>
        <w:shd w:val="clear" w:color="auto" w:fill="FDE9D9" w:themeFill="accent6" w:themeFillTint="33"/>
        <w:tabs>
          <w:tab w:val="left" w:leader="dot" w:pos="8931"/>
          <w:tab w:val="right" w:pos="9355"/>
        </w:tabs>
        <w:ind w:left="284" w:right="51" w:hanging="284"/>
        <w:rPr>
          <w:rFonts w:ascii="Baskerville Old Face" w:hAnsi="Baskerville Old Face"/>
          <w:sz w:val="24"/>
          <w:szCs w:val="24"/>
        </w:rPr>
      </w:pPr>
      <w:r w:rsidRPr="00D47213">
        <w:rPr>
          <w:rStyle w:val="apple-style-span"/>
          <w:rFonts w:ascii="Baskerville Old Face" w:hAnsi="Baskerville Old Face"/>
          <w:sz w:val="24"/>
          <w:szCs w:val="24"/>
        </w:rPr>
        <w:tab/>
      </w:r>
      <w:r w:rsidRPr="00D47213">
        <w:rPr>
          <w:rFonts w:ascii="Baskerville Old Face" w:hAnsi="Baskerville Old Face"/>
          <w:noProof/>
          <w:color w:val="FF0000"/>
          <w:sz w:val="24"/>
          <w:szCs w:val="24"/>
        </w:rPr>
        <mc:AlternateContent>
          <mc:Choice Requires="wps">
            <w:drawing>
              <wp:anchor distT="4294967295" distB="4294967295" distL="114300" distR="114300" simplePos="0" relativeHeight="251660288" behindDoc="0" locked="0" layoutInCell="1" allowOverlap="1" wp14:anchorId="561E32C2" wp14:editId="5F8E1A36">
                <wp:simplePos x="0" y="0"/>
                <wp:positionH relativeFrom="margin">
                  <wp:posOffset>-19050</wp:posOffset>
                </wp:positionH>
                <wp:positionV relativeFrom="paragraph">
                  <wp:posOffset>100330</wp:posOffset>
                </wp:positionV>
                <wp:extent cx="5983605" cy="0"/>
                <wp:effectExtent l="0" t="19050" r="55245" b="38100"/>
                <wp:wrapNone/>
                <wp:docPr id="21"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83605" cy="0"/>
                        </a:xfrm>
                        <a:prstGeom prst="line">
                          <a:avLst/>
                        </a:prstGeom>
                        <a:noFill/>
                        <a:ln w="63500" cmpd="tri">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line w14:anchorId="6F44EA9C" id="Straight Connector 40" o:spid="_x0000_s1026" style="position:absolute;z-index:2516602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margin" from="-1.5pt,7.9pt" to="469.6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" strokecolor="#ffc000" strokeweight="5pt">
                <v:stroke linestyle="thickBetweenThin"/>
                <o:lock v:ext="edit" shapetype="f"/>
                <w10:wrap anchorx="margin"/>
              </v:line>
            </w:pict>
          </mc:Fallback>
        </mc:AlternateContent>
      </w:r>
    </w:p>
    <w:p w14:paraId="573BBA10" w14:textId="477B359C" w:rsidR="001545D9" w:rsidRPr="00D47213" w:rsidRDefault="003C495F">
      <w:pPr>
        <w:shd w:val="clear" w:color="auto" w:fill="FFFFFF"/>
        <w:tabs>
          <w:tab w:val="left" w:pos="8505"/>
          <w:tab w:val="left" w:pos="8647"/>
        </w:tabs>
        <w:rPr>
          <w:rFonts w:ascii="Baskerville Old Face" w:eastAsia="Cambria" w:hAnsi="Baskerville Old Face" w:cs="Cambria"/>
        </w:rPr>
      </w:pPr>
      <w:r w:rsidRPr="00D47213">
        <w:rPr>
          <w:rFonts w:ascii="Baskerville Old Face" w:hAnsi="Baskerville Old Face"/>
          <w:noProof/>
        </w:rPr>
        <w:lastRenderedPageBreak/>
        <mc:AlternateContent>
          <mc:Choice Requires="wps">
            <w:drawing>
              <wp:anchor distT="4294967295" distB="4294967295" distL="114300" distR="114300" simplePos="0" relativeHeight="251658240" behindDoc="0" locked="0" layoutInCell="1" hidden="0" allowOverlap="1" wp14:anchorId="4D4705B4" wp14:editId="38B298FE">
                <wp:simplePos x="0" y="0"/>
                <wp:positionH relativeFrom="column">
                  <wp:posOffset>-12699</wp:posOffset>
                </wp:positionH>
                <wp:positionV relativeFrom="paragraph">
                  <wp:posOffset>81296</wp:posOffset>
                </wp:positionV>
                <wp:extent cx="0" cy="63500"/>
                <wp:effectExtent l="0" t="0" r="0" b="0"/>
                <wp:wrapNone/>
                <wp:docPr id="37" name="Straight Arrow Connector 37"/>
                <wp:cNvGraphicFramePr/>
                <a:graphic xmlns:a="http://schemas.openxmlformats.org/drawingml/2006/main">
                  <a:graphicData uri="http://schemas.microsoft.com/office/word/2010/wordprocessingShape">
                    <wps:wsp>
                      <wps:cNvCnPr/>
                      <wps:spPr>
                        <a:xfrm>
                          <a:off x="2354198" y="3780000"/>
                          <a:ext cx="5983605" cy="0"/>
                        </a:xfrm>
                        <a:prstGeom prst="straightConnector1">
                          <a:avLst/>
                        </a:prstGeom>
                        <a:noFill/>
                        <a:ln w="63500" cap="flat" cmpd="tri">
                          <a:solidFill>
                            <a:srgbClr val="FFC000"/>
                          </a:solidFill>
                          <a:prstDash val="solid"/>
                          <a:round/>
                          <a:headEnd type="none" w="med" len="med"/>
                          <a:tailEnd type="none" w="med" len="med"/>
                        </a:ln>
                      </wps:spPr>
                      <wps:bodyPr/>
                    </wps:wsp>
                  </a:graphicData>
                </a:graphic>
              </wp:anchor>
            </w:drawing>
          </mc:Choice>
          <mc:Fallback>
            <w:pict>
              <v:shapetype w14:anchorId="79BF71A1" id="_x0000_t32" coordsize="21600,21600" o:spt="32" o:oned="t" path="m,l21600,21600e" filled="f">
                <v:path arrowok="t" fillok="f" o:connecttype="none"/>
                <o:lock v:ext="edit" shapetype="t"/>
              </v:shapetype>
              <v:shape id="Straight Arrow Connector 37" o:spid="_x0000_s1026" type="#_x0000_t32" style="position:absolute;margin-left:-1pt;margin-top:6.4pt;width:0;height:5pt;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" strokecolor="#ffc000" strokeweight="5pt">
                <v:stroke linestyle="thickBetweenThin"/>
              </v:shape>
            </w:pict>
          </mc:Fallback>
        </mc:AlternateContent>
      </w:r>
    </w:p>
    <w:p w14:paraId="29F3A5C3" w14:textId="4470AED6" w:rsidR="001545D9" w:rsidRPr="00D47213" w:rsidRDefault="003C495F" w:rsidP="00815BD0">
      <w:pPr>
        <w:rPr>
          <w:rFonts w:ascii="Baskerville Old Face" w:eastAsia="Cambria" w:hAnsi="Baskerville Old Face" w:cs="Cambria"/>
          <w:b/>
          <w:sz w:val="28"/>
          <w:szCs w:val="28"/>
        </w:rPr>
      </w:pPr>
      <w:r w:rsidRPr="00D47213">
        <w:rPr>
          <w:rFonts w:ascii="Baskerville Old Face" w:eastAsia="Cambria" w:hAnsi="Baskerville Old Face" w:cs="Cambria"/>
          <w:b/>
          <w:sz w:val="28"/>
          <w:szCs w:val="28"/>
        </w:rPr>
        <w:t>Introduction</w:t>
      </w:r>
    </w:p>
    <w:p w14:paraId="55D3DF90" w14:textId="17C4EF1A"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Education is an important component that must be provided to every citizen of Indonesia and </w:t>
      </w:r>
      <w:r w:rsidRPr="00D47213">
        <w:rPr>
          <w:rFonts w:ascii="Baskerville Old Face" w:eastAsia="Cambria" w:hAnsi="Baskerville Old Face" w:cs="Cambria"/>
          <w:sz w:val="24"/>
          <w:szCs w:val="24"/>
          <w:lang w:val="en-ID"/>
        </w:rPr>
        <w:t>is the main pillar</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in enlightening life nation</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id-ID"/>
        </w:rPr>
        <w:t xml:space="preserve">In accordance with Article 31 paragraph 1 of the 1945 Constitution, which states that "All citizens have the right to education." Education in Indonesia in the past few decades has presented a complete range of dynamics, between efforts to modernize the learning system and the reality of the limitations of basic infrastructure that are still concerning. The journey towards improving the quality of national learning, especially at the elementary school level, is constantly colored by debates regarding the priority of resource allocation between investment in modern learning technology and improvements to basic physical infrastructure </w:t>
      </w:r>
      <w:r w:rsidRPr="00D47213">
        <w:rPr>
          <w:rFonts w:ascii="Baskerville Old Face" w:eastAsia="Cambria" w:hAnsi="Baskerville Old Face" w:cs="Cambria"/>
          <w:sz w:val="24"/>
          <w:szCs w:val="24"/>
          <w:lang w:val="id-ID"/>
        </w:rPr>
        <w:fldChar w:fldCharType="begin" w:fldLock="1"/>
      </w:r>
      <w:r w:rsidRPr="00D47213">
        <w:rPr>
          <w:rFonts w:ascii="Baskerville Old Face" w:eastAsia="Cambria" w:hAnsi="Baskerville Old Face" w:cs="Cambria"/>
          <w:sz w:val="24"/>
          <w:szCs w:val="24"/>
          <w:lang w:val="id-ID"/>
        </w:rPr>
        <w:instrText>ADDIN CSL_CITATION {"citationItems":[{"id":"ITEM-1","itemData":{"ISSN":"2580-2364","author":[{"dropping-particle":"","family":"Saifulloh","given":"Putra Perdana Ahmad","non-dropping-particle":"","parse-names":false,"suffix":""}],"container-title":"Jurnal Rechts Vinding: Media Pembinaan Hukum Nasional","id":"ITEM-1","issue":"2","issued":{"date-parts":[["2022"]]},"page":"191-209","title":"Rekonstruksi Pengaturan Hak Dipilih Pegawai Negeri Sipil Dalam Pemilihan Umum Legislatif Menurut Uud 1945","type":"article-journal","volume":"11"},"uris":["http://www.mendeley.com/documents/?uuid=c47c03d9-8ce8-4d41-9b55-8b50f0cd169c"]}],"mendeley":{"formattedCitation":"(Saifulloh, 2022)","plainTextFormattedCitation":"(Saifulloh, 2022)","previouslyFormattedCitation":"(Saifulloh, 2022)"},"properties":{"noteIndex":0},"schema":"https://github.com/citation-style-language/schema/raw/master/csl-citation.json"}</w:instrText>
      </w:r>
      <w:r w:rsidRPr="00D47213">
        <w:rPr>
          <w:rFonts w:ascii="Baskerville Old Face" w:eastAsia="Cambria" w:hAnsi="Baskerville Old Face" w:cs="Cambria"/>
          <w:sz w:val="24"/>
          <w:szCs w:val="24"/>
          <w:lang w:val="id-ID"/>
        </w:rPr>
        <w:fldChar w:fldCharType="separate"/>
      </w:r>
      <w:r w:rsidRPr="00D47213">
        <w:rPr>
          <w:rFonts w:ascii="Baskerville Old Face" w:eastAsia="Cambria" w:hAnsi="Baskerville Old Face" w:cs="Cambria"/>
          <w:sz w:val="24"/>
          <w:szCs w:val="24"/>
          <w:lang w:val="id-ID"/>
        </w:rPr>
        <w:t xml:space="preserve">(Saifulloh, 2022)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3C346D1B"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In Indonesia, efforts to achieve ideal learning quality are based on a solid legal foundation. This begins with Law No. 20 of 2003 concerning the National Education System. This law stipulates that every citizen has the right to receive a quality education, where the learning process must be conducted interactively, inspiringly, and challenging to optimally develop students' potential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BN":"6347311216","author":[{"dropping-particle":"","family":"Prihatin","given":"Eka","non-dropping-particle":"","parse-names":false,"suffix":""},{"dropping-particle":"","family":"Kadarsah","given":"Deni","non-dropping-particle":"","parse-names":false,"suffix":""},{"dropping-particle":"","family":"IZFS","given":"Ratu Dintha","non-dropping-particle":"","parse-names":false,"suffix":""}],"id":"ITEM-1","issued":{"date-parts":[["2025"]]},"publisher":"Indonesia Emas Group","title":"Kebijakan Pendidikan Nasional: Transformasi Digital untuk Sistem yang Inklusif","type":"book"},"uris":["http://www.mendeley.com/documents/?uuid=0d81229a-aa79-4864-a4eb-ac4a06a26ea5"]}],"mendeley":{"formattedCitation":"(Prihatin et al., 2025)","plainTextFormattedCitation":"(Prihatin et al., 2025)","previouslyFormattedCitation":"(Prihatin et al.,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(Prihatin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In practice, these quality standards require transformation that can easily adapt to the dynamics of the times. The government then updated its operational framework through Government Regulation No. 57 of 2021, which was refined by Government Regulation No. 4 of 2022 concerning National Education Standards (SNP). This latest regulation brings a significant shift in patterns, from rigid administrative control to broader autonomy of educational units. This is emphasized by the presence of Permendikbudristek No. 5 of 2022 concerning Graduate Competency Standards (SKL), which focuses the quality of learning not only on cognitive mastery alone, but also on character formation and competencies that are relevant to global needs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{"citationItems":[{"id":"ITEM-1","itemData":{"author":[{"dropping-particle":"","family":"Siti","given":"Marwiyah","non-dropping-particle":"","parse-names":false,"suffix":""}],"id":"ITEM-1","issued":{"date-parts":[["2023"]]},"publisher":"Cv Mitra Ilmu","title":"BUKU STRATEGI PENINGKATAN KUALITAS PELAYANAN PUBLIK DI ERA DIGITALISASI","type":"article"},"uris":["http://www.mendeley.com/documents/?uuid=e375e3d8-44c7-4bd0-8dce-3b1367181079"]}],"mendeley":{"formattedCitation":"(Siti, 2023)","plainTextFormattedCitation":"(Siti, 2023)","previouslyFormattedCitation":"(Siti, 2023)"},"properties":{"noteIndex":0},"schema":"https://github.com/citation-style-language/schema/raw/master/csl-citation.json"}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(Siti, 2023)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424A7DD3"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In accordance with Article 31 paragraph 1 of the 1945 Constitution, which states that "All citizens have the right to education," education in Indonesia in recent decades has presented a complete range of dynamics, between efforts to modernize the learning system and the reality of the limitations of basic infrastructure that are still concerning. The journey towards improving the quality of national learning, especially at the elementary school level, is constantly colored by debates regarding the priority allocation of resources between investment in modern learning technology and improvements to basic physical infrastructure </w:t>
      </w:r>
      <w:r w:rsidRPr="00D47213">
        <w:rPr>
          <w:rFonts w:ascii="Baskerville Old Face" w:eastAsia="Cambria" w:hAnsi="Baskerville Old Face" w:cs="Cambria"/>
          <w:sz w:val="24"/>
          <w:szCs w:val="24"/>
          <w:lang w:val="id-ID"/>
        </w:rPr>
        <w:fldChar w:fldCharType="begin" w:fldLock="1"/>
      </w:r>
      <w:r w:rsidRPr="00D47213">
        <w:rPr>
          <w:rFonts w:ascii="Baskerville Old Face" w:eastAsia="Cambria" w:hAnsi="Baskerville Old Face" w:cs="Cambria"/>
          <w:sz w:val="24"/>
          <w:szCs w:val="24"/>
          <w:lang w:val="id-ID"/>
        </w:rPr>
        <w:instrText>ADDIN CSL_CITATION {"citationItems":[{"id":"ITEM-1","itemData":{"ISSN":"2580-2364","author":[{"dropping-particle":"","family":"Saifulloh","given":"Putra Perdana Ahmad","non-dropping-particle":"","parse-names":false,"suffix":""}],"container-title":"Jurnal Rechts Vinding: Media Pembinaan Hukum Nasional","id":"ITEM-1","issue":"2","issued":{"date-parts":[["2022"]]},"page":"191-209","title":"Rekonstruksi Pengaturan Hak Dipilih Pegawai Negeri Sipil Dalam Pemilihan Umum Legislatif Menurut Uud 1945","type":"article-journal","volume":"11"},"uris":["http://www.mendeley.com/documents/?uuid=c47c03d9-8ce8-4d41-9b55-8b50f0cd169c"]}],"mendeley":{"formattedCitation":"(Saifulloh, 2022)","plainTextFormattedCitation":"(Saifulloh, 2022)","previouslyFormattedCitation":"(Saifulloh, 2022)"},"properties":{"noteIndex":0},"schema":"https://github.com/citation-style-language/schema/raw/master/csl-citation.json"}</w:instrText>
      </w:r>
      <w:r w:rsidRPr="00D47213">
        <w:rPr>
          <w:rFonts w:ascii="Baskerville Old Face" w:eastAsia="Cambria" w:hAnsi="Baskerville Old Face" w:cs="Cambria"/>
          <w:sz w:val="24"/>
          <w:szCs w:val="24"/>
          <w:lang w:val="id-ID"/>
        </w:rPr>
        <w:fldChar w:fldCharType="separate"/>
      </w:r>
      <w:r w:rsidRPr="00D47213">
        <w:rPr>
          <w:rFonts w:ascii="Baskerville Old Face" w:eastAsia="Cambria" w:hAnsi="Baskerville Old Face" w:cs="Cambria"/>
          <w:sz w:val="24"/>
          <w:szCs w:val="24"/>
          <w:lang w:val="id-ID"/>
        </w:rPr>
        <w:t xml:space="preserve">(Saifulloh, 2022)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3EC9D966"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The background of the problem in this research essentially stems from the issue of the uneven quality of learning in elementary schools, both in terms of the process and learning outcomes of students. The quality of learning in elementary education environments is not only measured by academic achievement, but also by the extent to which the teaching and learning process takes place interactively, inspiringly, enjoyably, challengingly, and motivates students to actively construct knowledge according to their developmental characteristics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2716-4357","author":[{"dropping-particle":"","family":"Kartika","given":"Ika","non-dropping-particle":"","parse-names":false,"suffix":""},{"dropping-particle":"","family":"Arifudin","given":"Opan","non-dropping-particle":"","parse-names":false,"suffix":""}],"container-title":"Jurnal Al-Amar: Ekonomi Syariah, Perbankan Syariah, Agama Islam, Manajemen Dan Pendidikan","id":"ITEM-1","issue":"2","issued":{"date-parts":[["2022"]]},"page":"144-157","title":"Implementasi manajemen mutu pembelajaran sebagai upaya meningkatkan mutu pembelajaran di sekolah dasar","type":"article-journal","volume":"3"},"uris":["http://www.mendeley.com/documents/?uuid=d2cedb4e-2518-4717-b8ef-9fba840cb0f9"]}],"mendeley":{"formattedCitation":"(Kartika &amp; Arifudin, 2022)","plainTextFormattedCitation":"(Kartika &amp; Arifudin, 2022)","previouslyFormattedCitation":"(Kartika &amp; Arifudin, 2022)"},"properties":{"noteIndex":0},"schema":"https://github.com/citation-style-language/schema/raw/master/csl-citation.json"}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(Kartika &amp; Arifudin, 2022)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Learning quality is the quality or quality of teaching and learning activities carried out by teachers in the classroom. This includes how teachers are able to create a conducive, enjoyable learning atmosphere and motivate students to learn actively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{"citationItems":[{"id":"ITEM-1","itemData":{"ISSN":"2477-0302","author":[{"dropping-particle":"","family":"Rosni","given":"Rosni","non-dropping-particle":"","parse-names":false,"suffix":""}],"container-title":"Jurnal EDUCATIO: Jurnal Pendidikan Indonesia","id":"ITEM-1","issue":"2","issued":{"date-parts":[["2021"]]},"page":"113-124","title":"Kompetensi guru dalam meningkatkan mutu pembelajaran di sekolah dasar","type":"article-journal","volume":"7"},"uris":["http://www.mendeley.com/documents/?uuid=948fc190-d577-4a3a-a12c-83c86615d741"]}],"mendeley":{"formattedCitation":"(Rosni, 2021)","plainTextFormattedCitation":"(Rosni, 2021)","previouslyFormattedCitation":"(Rosni, 2021)"},"properties":{"noteIndex":0},"schema":"https://github.com/citation-style-language/schema/raw/master/csl-citation.json"}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(Rosni, 2021)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Syafaruddin et al. (2022) in their study of educational management stated that learning quality is not just academic scores, but also the degree of alignment between the educational process and established standards and the demands of society (stakeholders). Quality is considered high if learning is able to change student behavior in accordance with educational goals effectively. Mulyasa (2022) emphasized that learning quality is a school's ability to operationally manage all learning components to create meaningful learning experiences. He highlighted the role of teachers as learning designers who adapt to technology.</w:t>
      </w:r>
    </w:p>
    <w:p w14:paraId="60A5FE69"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lastRenderedPageBreak/>
        <w:t xml:space="preserve">Various recent studies confirm that quality learning is characterized by effective teaching and learning processes, strong school leadership, professional management of educational staff, a vibrant culture of quality in schools, and optimal student engagement through a student-centered approach. Thus, learning quality can be understood as the level of excellence in learning processes and outcomes, reflected in the alignment between learning planning, implementation, and evaluation with established standards and the actual needs of students in the field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2807-7474","author":[{"dropping-particle":"","family":"Mahmudah","given":"Siti","non-dropping-particle":"","parse-names":false,"suffix":""},{"dropping-particle":"","family":"Halik","given":"Abdul","non-dropping-particle":"","parse-names":false,"suffix":""},{"dropping-particle":"","family":"Sari","given":"Aryanti Puspita","non-dropping-particle":"","parse-names":false,"suffix":""},{"dropping-particle":"","family":"Ridwan","given":"Ridwan","non-dropping-particle":"","parse-names":false,"suffix":""}],"container-title":"Sulawesi Tenggara Educational Journal","id":"ITEM-1","issue":"1","issued":{"date-parts":[["2025"]]},"page":"417-424","title":"Budaya Mutu Organisasi pada Satuan Pendidikan","type":"article-journal","volume":"5"},"uris":["http://www.mendeley.com/documents/?uuid=c143e8d7-67ac-460b-841d-c871c7fa8f24"]}],"mendeley":{"formattedCitation":"(Mahmudah et al., 2025)","plainTextFormattedCitation":"(Mahmudah et al., 2025)","previouslyFormattedCitation":"(Mahmudah et al.,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(Mahmudah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At the national policy level, the agenda for improving learning quality continues to be emphasized through strengthening process standards, school activities, and accelerating the digitalization of learning in response to the demands for quality human resources in the era of digital transformation. However, many educational units, especially in areas such as rural areas, still face obstacles in the quality of learning. These include limited use of information and communication technology by teachers in learning, and the quality of infrastructure that does not meet minimum service standards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author":[{"dropping-particle":"","family":"Wang","given":"Claudia","non-dropping-particle":"","parse-names":false,"suffix":""},{"dropping-particle":"","family":"Zhang","given":"Monique","non-dropping-particle":"","parse-names":false,"suffix":""},{"dropping-particle":"","family":"Sesunan","given":"Ali","non-dropping-particle":"","parse-names":false,"suffix":""},{"dropping-particle":"","family":"Yolanda","given":"Laurencia","non-dropping-particle":"","parse-names":false,"suffix":""}],"container-title":"Kemdikbud","id":"ITEM-1","issue":"2","issued":{"date-parts":[["2023"]]},"page":"1-7","title":"Peran teknologi dalam transformasi pendidikan di Indonesia","type":"article-journal","volume":"4"},"uris":["http://www.mendeley.com/documents/?uuid=dbe794f0-c2f1-47ed-badb-f93c2164fd33"]}],"mendeley":{"formattedCitation":"(Wang et al., 2023)","plainTextFormattedCitation":"(Wang et al., 2023)","previouslyFormattedCitation":"(Wang et al., 2023)"},"properties":{"noteIndex":0},"schema":"https://github.com/citation-style-language/schema/raw/master/csl-citation.json"}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(Wang et al., 2023)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The physical condition of school buildings in Muara Telang District generally still shows limitations in terms of the suitability and utilization of educational infrastructure. Some of the public elementary school buildings in this area were built more than two decades ago and have not yet undergone a comprehensive rehabilitation process. Some classrooms show signs of damage, such as leaking roofs, cracked walls, and inadequate ventilation. These conditions directly impact the comfort and safety of students participating in learning activities, especially during the rainy season, which often disrupts the learning process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author":[{"dropping-particle":"","family":"Aderempas","given":"Tere","non-dropping-particle":"","parse-names":false,"suffix":""},{"dropping-particle":"","family":"Lukman","given":"Asha","non-dropping-particle":"","parse-names":false,"suffix":""},{"dropping-particle":"","family":"Emmi","given":"Kholillah Harahap","non-dropping-particle":"","parse-names":false,"suffix":""}],"id":"ITEM-1","issued":{"date-parts":[["2025"]]},"publisher":"Institut Agama Islam Negeri Curup","title":"Implementasi Kebijakan Pemerintah Daerah Bidang Pendidikan Dan Implikasinya Terhadap Pemerataan Infrastruktur Pendidikan Di Kabupaten Kepahiang","type":"article"},"uris":["http://www.mendeley.com/documents/?uuid=59e65349-048e-4357-bbd6-b712504e116c"]}],"mendeley":{"formattedCitation":"(Aderempas et al., 2025)","plainTextFormattedCitation":"(Aderempas et al., 2025)","previouslyFormattedCitation":"(Aderempas et al.,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(Aderempas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5B1DF29C"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Limitations are also evident in the availability of learning support spaces such as laboratories, libraries, and computer practice rooms. Many schools still rely on multifunctional classrooms that are used alternately for various activities, including administrative activities and teacher meetings. </w:t>
      </w:r>
      <w:r w:rsidRPr="00D47213">
        <w:rPr>
          <w:rFonts w:ascii="Baskerville Old Face" w:eastAsia="Cambria" w:hAnsi="Baskerville Old Face" w:cs="Cambria"/>
          <w:sz w:val="24"/>
          <w:szCs w:val="24"/>
          <w:lang w:val="en-ID"/>
        </w:rPr>
        <w:t xml:space="preserve">Information technology facilities, such as computers, projectors, and internet connections, are also not evenly available across all schools. Yet, the presence of these facilities is crucial to support the implementation of digital-based learning and strengthen 21st-century competencies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en-ID"/>
        </w:rPr>
        <w:instrText>ADDIN CSL_CITATION {"citationItems":[{"id":"ITEM-1","itemData":{"ISSN":"2502-6445","author":[{"dropping-particle":"","family":"Alfalah","given":"Muhammad","non-dropping-particle":"","parse-names":false,"suffix":""},{"dropping-particle":"","family":"Zakaria","given":"Muhammad","non-dropping-particle":"","parse-names":false,"suffix":""},{"dropping-particle":"","family":"Rofingah","given":"Siti","non-dropping-particle":"","parse-names":false,"suffix":""},{"dropping-particle":"","family":"Assahra","given":"Amelia","non-dropping-particle":"","parse-names":false,"suffix":""},{"dropping-particle":"","family":"Mahdi","given":"Mardion","non-dropping-particle":"Al","parse-names":false,"suffix":""}],"container-title":"Jurnal Kepemimpinan dan Pengurusan Sekolah","id":"ITEM-1","issue":"4","issued":{"date-parts":[["2025"]]},"page":"2899-2907","title":"KETERSEDIAAN SARANA DAN PRASARANA UNTUK MENUNJANG KEGIATAN PENDIDIKAN SEKOLAH DASAR","type":"article-journal","volume":"10"},"uris":["http://www.mendeley.com/documents/?uuid=7ee93369-baec-4458-9fe9-8f1c92bf911d"]}],"mendeley":{"formattedCitation":"(Alfalah et al., 2025)","plainTextFormattedCitation":"(Alfalah et al., 2025)","previouslyFormattedCitation":"(Alfalah et al.,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en-ID"/>
        </w:rPr>
        <w:t xml:space="preserve">(Alfalah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id-ID"/>
        </w:rPr>
        <w:t xml:space="preserve">Furthermore, most learning equipment, such as desks, chairs, and whiteboards, has deteriorated due to long-term use without renovation. Poorly organized school environments, suboptimal drainage, and limited play areas for students also reflect suboptimal management of school infrastructure. Minimal budget support and low community participation in the maintenance of educational assets exacerbate this condition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{"citationItems":[{"id":"ITEM-1","itemData":{"author":[{"dropping-particle":"","family":"Fatukaloba","given":"Riyan","non-dropping-particle":"","parse-names":false,"suffix":""}],"id":"ITEM-1","issued":{"date-parts":[["2024"]]},"publisher":"Universitas PTIQ Jakarta","title":"Optimalisasi Manajemen Sarana Prasarana Pembelajaran Untuk Meningkatkan Kualitas Hasil Belajar Siswa Di SMA IT Rahmaniyah Al-Islamy Cibinong, Bogor, Jawa Barat","type":"article"},"uris":["http://www.mendeley.com/documents/?uuid=673a229a-1a36-4878-ad67-5ec97dc4cde2"]}],"mendeley":{"formattedCitation":"(Fatukaloba, 2024)","plainTextFormattedCitation":"(Fatukaloba, 2024)","previouslyFormattedCitation":"(Fatukaloba, 2024)"},"properties":{"noteIndex":0},"schema":"https://github.com/citation-style-language/schema/raw/master/csl-citation.json"}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(Fatukaloba, 2024)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Inadequate infrastructure ultimately impacts the quality of learning. The teaching and learning process is often hampered by external factors such as physical environmental disturbances and limited equipment. Teachers have less freedom to implement innovative learning methods, while students lose motivation to learn due to the unsupportive learning environment. In the long term, this situation could reduce academic achievement and hinder efforts to improve the quality of basic education in Muara Telang District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{"citationItems":[{"id":"ITEM-1","itemData":{"author":[{"dropping-particle":"","family":"DARATHEA","given":"MEYSI","non-dropping-particle":"","parse-names":false,"suffix":""}],"id":"ITEM-1","issued":{"date-parts":[["2025"]]},"publisher":"UNIVERSITAS ISLAM NEGERI SULTAN SYARIF KASIM RIAU","title":"Pengadaan Sarana dan Prasarana Kelas Dalam Meningkatkan Kualitas Pembelajaran di Madrasah Tsanawiyah Swasta Kota Intan Rokan Hulu","type":"article"},"uris":["http://www.mendeley.com/documents/?uuid=b8fb6700-1aed-4269-b575-746e344fc4ac"]}],"mendeley":{"formattedCitation":"(DARATHEA, 2025)","plainTextFormattedCitation":"(DARATHEA, 2025)","previouslyFormattedCitation":"(DARATHEA,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(Darathea,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26F13D2A"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Countries that desire advanced education must continually innovate to meet the demands of the times. As time moves on, innovations occur over time. We have now entered the 21st century, where the focus of education is no longer solely on imparting knowledge. In addition to the transfer of knowledge from teachers, students are also taught to think critically, collaborate, be creative, and utilize technology (Salkam et al., 2023, p. 310). Technology, information literacy, media literacy, and learning skills are all essential elements for modern 21st-century education (Effendi and Wahidy, 2019, p. 126). Therefore, innovation is necessary, especially for teachers, the primary actors in the learning process who play the role of learning creators. However, this innovation requires full support from schools to help meet these needs.</w:t>
      </w:r>
    </w:p>
    <w:p w14:paraId="0FC43CB7" w14:textId="51533930"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lastRenderedPageBreak/>
        <w:t xml:space="preserve">Teachers are not just individuals who provide information, but also individuals who help students find and solve problems on their own (Amelia, 2023, p. 69). To achieve this, technologies such as online learning, project-based learning, and game-based teaching and learning activities must be adopted. These technologies can encourage student engagement and make the learning experience more engaging (Khoiriah et al., 2023, p. 118). The application of information and communication technology in learning is not just about the availability of hardware and software, but also concerns the readiness of the educational environment as a whole. This includes the qualifications and competencies of an educator, supporting infrastructure such as electricity and stable internet connectivity, and the availability of comfortable and safe learning spaces. The qualifications and competencies of qualified educators and the effective and appropriate arrangement of facilities and infrastructure are crucial to ensure the smooth running of the teaching and learning process in every educational institution. Therefore, any problems and shortcomings that arise need to be addressed properly, so that facilities and infrastructure can be utilized optimally to improve the quality of learning </w:t>
      </w:r>
      <w:r w:rsidRPr="00D47213">
        <w:rPr>
          <w:rFonts w:ascii="Baskerville Old Face" w:eastAsia="Cambria" w:hAnsi="Baskerville Old Face" w:cs="Cambria"/>
          <w:sz w:val="24"/>
          <w:szCs w:val="24"/>
          <w:lang w:val="id-ID"/>
        </w:rPr>
        <w:fldChar w:fldCharType="begin" w:fldLock="1"/>
      </w:r>
      <w:r w:rsidRPr="00D47213">
        <w:rPr>
          <w:rFonts w:ascii="Baskerville Old Face" w:eastAsia="Cambria" w:hAnsi="Baskerville Old Face" w:cs="Cambria"/>
          <w:sz w:val="24"/>
          <w:szCs w:val="24"/>
          <w:lang w:val="id-ID"/>
        </w:rPr>
        <w:instrText>ADDIN CSL_CITATION {"citationItems":[{"id":"ITEM-1","itemData":{"ISBN":"6235485395","author":[{"dropping-particle":"","family":"Mustari","given":"Mohamad","non-dropping-particle":"","parse-names":false,"suffix":""}],"id":"ITEM-1","issued":{"date-parts":[["2023"]]},"publisher":"Gunung Djati Publishing Bandung","title":"Teknologi informasi dan komunikasi dalam manajemen pendidikan","type":"book"},"uris":["http://www.mendeley.com/documents/?uuid=6999b011-64da-446b-84ab-e39d6eb7f0e3"]}],"mendeley":{"formattedCitation":"(Mustari, 2023)","plainTextFormattedCitation":"(Mustari, 2023)","previouslyFormattedCitation":"(Mustari, 2023)"},"properties":{"noteIndex":0},"schema":"https://github.com/citation-style-language/schema/raw/master/csl-citation.json"}</w:instrText>
      </w:r>
      <w:r w:rsidRPr="00D47213">
        <w:rPr>
          <w:rFonts w:ascii="Baskerville Old Face" w:eastAsia="Cambria" w:hAnsi="Baskerville Old Face" w:cs="Cambria"/>
          <w:sz w:val="24"/>
          <w:szCs w:val="24"/>
          <w:lang w:val="id-ID"/>
        </w:rPr>
        <w:fldChar w:fldCharType="separate"/>
      </w:r>
      <w:r w:rsidRPr="00D47213">
        <w:rPr>
          <w:rFonts w:ascii="Baskerville Old Face" w:eastAsia="Cambria" w:hAnsi="Baskerville Old Face" w:cs="Cambria"/>
          <w:sz w:val="24"/>
          <w:szCs w:val="24"/>
          <w:lang w:val="id-ID"/>
        </w:rPr>
        <w:t xml:space="preserve">(Mustari, 2023)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765A04C1"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Lack of collaboration between principals and teachers in utilizing information and communication technology is often a major obstacle to transforming the quality of learning in schools. When principals focus solely on procuring devices without providing ongoing support, while teachers are reluctant to use the technology, it becomes merely an administrative burden. Without synergy in the form of supportive supervision and a space for sharing good practices, the enormous potential of ICT to create interactive and adaptive classrooms will not be fully realized. Consequently, digital innovation in schools tends to stagnate and have no real impact on student learning outcomes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{"citationItems":[{"id":"ITEM-1","itemData":{"ISSN":"2579-4833","author":[{"dropping-particle":"","family":"Rivalina","given":"Rahmi","non-dropping-particle":"","parse-names":false,"suffix":""}],"container-title":"Jurnal Teknodik","id":"ITEM-1","issued":{"date-parts":[["2014"]]},"page":"165-176","title":"Kompetensi teknologi informasi dan komunikasi guru dalam peningkatan kualitas pembelajaran","type":"article-journal"},"uris":["http://www.mendeley.com/documents/?uuid=f3c526c0-23fd-4708-8432-e01f04f5dbfa"]}],"mendeley":{"formattedCitation":"(Rivalina, 2014)","plainTextFormattedCitation":"(Rivalina, 2014)","previouslyFormattedCitation":"(Rivalina, 2014)"},"properties":{"noteIndex":0},"schema":"https://github.com/citation-style-language/schema/raw/master/csl-citation.json"}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(Rivalina, 2014)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Educational facilities and infrastructure, within the framework of educational system theory, serve as material inputs that facilitate a quality learning process. Facilities and infrastructure alone are insufficient without proper management from each educational unit. This management includes planning, procurement, utilization, maintenance, and a sound and orderly inventory system. Many schools boast comprehensive facilities, but their sustainability is limited due to a lack of effective management (Ikhwan &amp; Qomariyah, 2022, p. 103). The availability and quality of infrastructure not only impact the technical aspects of learning but also have a psychological impact on student learning motivation and public trust in educational institutions. The effectiveness of service and infrastructure provision in Nabire Regency revealed that infrastructure significantly influences the quality of learning. However, obstacles such as slow administration, varying facility quality, lack of maintenance, and low community participation remain. In addition to limited classroom space, teaching aids, access to technology, and inadequate sanitation, educational facilities management also faces challenges </w:t>
      </w:r>
      <w:r w:rsidRPr="00D47213">
        <w:rPr>
          <w:rFonts w:ascii="Baskerville Old Face" w:eastAsia="Cambria" w:hAnsi="Baskerville Old Face" w:cs="Cambria"/>
          <w:sz w:val="24"/>
          <w:szCs w:val="24"/>
          <w:lang w:val="id-ID"/>
        </w:rPr>
        <w:fldChar w:fldCharType="begin" w:fldLock="1"/>
      </w:r>
      <w:r w:rsidRPr="00D47213">
        <w:rPr>
          <w:rFonts w:ascii="Baskerville Old Face" w:eastAsia="Cambria" w:hAnsi="Baskerville Old Face" w:cs="Cambria"/>
          <w:sz w:val="24"/>
          <w:szCs w:val="24"/>
          <w:lang w:val="id-ID"/>
        </w:rPr>
        <w:instrText>ADDIN CSL_CITATION {"citationItems":[{"id":"ITEM-1","itemData":{"ISSN":"2962-4738","author":[{"dropping-particle":"","family":"Randan","given":"Ferry","non-dropping-particle":"","parse-names":false,"suffix":""},{"dropping-particle":"","family":"Todingbua","given":"Manuel A","non-dropping-particle":"","parse-names":false,"suffix":""},{"dropping-particle":"","family":"Buku","given":"Atus","non-dropping-particle":"","parse-names":false,"suffix":""}],"container-title":"Journal of Comprehensive Science (JCS)","id":"ITEM-1","issue":"2","issued":{"date-parts":[["2025"]]},"title":"Efektifitas Pelayanan dan Penyediaan Sarana/Prasarana dalam Meningkatkan Kualitas Pembelajaran Tingkat Sekolah Dasar Dilingkup Dinas Pendidikan Kabupaten Nabire.","type":"article-journal","volume":"4"},"uris":["http://www.mendeley.com/documents/?uuid=2850f635-034b-480b-b308-bf41e6ae7d69"]}],"mendeley":{"formattedCitation":"(Randan et al., 2025)","plainTextFormattedCitation":"(Randan et al., 2025)","previouslyFormattedCitation":"(Randan et al., 2025)"},"properties":{"noteIndex":0},"schema":"https://github.com/citation-style-language/schema/raw/master/csl-citation.json"}</w:instrText>
      </w:r>
      <w:r w:rsidRPr="00D47213">
        <w:rPr>
          <w:rFonts w:ascii="Baskerville Old Face" w:eastAsia="Cambria" w:hAnsi="Baskerville Old Face" w:cs="Cambria"/>
          <w:sz w:val="24"/>
          <w:szCs w:val="24"/>
          <w:lang w:val="id-ID"/>
        </w:rPr>
        <w:fldChar w:fldCharType="separate"/>
      </w:r>
      <w:r w:rsidRPr="00D47213">
        <w:rPr>
          <w:rFonts w:ascii="Baskerville Old Face" w:eastAsia="Cambria" w:hAnsi="Baskerville Old Face" w:cs="Cambria"/>
          <w:sz w:val="24"/>
          <w:szCs w:val="24"/>
          <w:lang w:val="id-ID"/>
        </w:rPr>
        <w:t xml:space="preserve">(Randan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76755CDE"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This finding aligns with the research findings of Ananda et al. (2025), which showed that facilities and infrastructure significantly influence elementary school students' learning achievement. The availability of learning resources, such as libraries, textbooks, adequate classrooms, teaching aids, and learning media, directly contributes to student motivation and learning outcomes. From an educational management perspective, improving the quality of learning is a continuous and systematic process that requires a holistic approach involving all stakeholders. Research published in 2025 on school management as an effective strategy for improving the quality of learning in elementary schools confirms that a holistic approach involving all stakeholders can create a conducive learning environment and provide support in improving the quality of learning (Supardi &amp; Amelia, 2025).</w:t>
      </w:r>
    </w:p>
    <w:p w14:paraId="0F789B20" w14:textId="77777777" w:rsidR="00B04DEA"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Although national regulatory frameworks such as Law No. 20 of 2003 concerning the National Education System, Government Regulations No. 57 of 2021 and No. 4 of 2022 concerning National Education Standards, and Ministerial Regulation of Education, Culture, Research, and Technology No. </w:t>
      </w:r>
      <w:r w:rsidRPr="00D47213">
        <w:rPr>
          <w:rFonts w:ascii="Baskerville Old Face" w:eastAsia="Cambria" w:hAnsi="Baskerville Old Face" w:cs="Cambria"/>
          <w:sz w:val="24"/>
          <w:szCs w:val="24"/>
          <w:lang w:val="id-ID"/>
        </w:rPr>
        <w:lastRenderedPageBreak/>
        <w:t xml:space="preserve">5 of 2022 concerning Graduate Competency Standards have emphasized the commitment to improving the quality of interactive and character-oriented learning in elementary schools, the reality on the ground in rural areas such as Muara Telang District still shows a striking gap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{"citationItems":[{"id":"ITEM-1","itemData":{"ISSN":"2654-427X","author":[{"dropping-particle":"","family":"Totalia","given":"Salman Alfarisy","non-dropping-particle":"","parse-names":false,"suffix":""},{"dropping-particle":"","family":"Sujadi","given":"Imam","non-dropping-particle":"","parse-names":false,"suffix":""},{"dropping-particle":"","family":"Hindrayani","given":"Aniek","non-dropping-particle":"","parse-names":false,"suffix":""},{"dropping-particle":"","family":"Wahyudi","given":"Sigit","non-dropping-particle":"","parse-names":false,"suffix":""}],"container-title":"Jurnal Penelitian Kebijakan Pendidikan","id":"ITEM-1","issue":"2","issued":{"date-parts":[["2023"]]},"title":"PERSEPSI DAN PEMAKNAAN GURU TENTANG STANDAR PROSES DAN STANDAR PENILAIAN PENDIDIKAN","type":"article-journal","volume":"16"},"uris":["http://www.mendeley.com/documents/?uuid=896a16b3-cb83-47ca-bcda-a3586492a5f2"]}],"mendeley":{"formattedCitation":"(Totalia et al., 2023)","plainTextFormattedCitation":"(Totalia et al., 2023)","previouslyFormattedCitation":"(Totalia et al., 2023)"},"properties":{"noteIndex":0},"schema":"https://github.com/citation-style-language/schema/raw/master/csl-citation.json"}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(Totalia et al., 2023)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 xml:space="preserve">. This is evident in how modernization efforts through information and communication technology (ICT) are often hampered by limited basic infrastructure such as unstable internet connectivity, uneven teacher competency, and the concerning quality of physical infrastructure—such as inadequate classrooms and minimal maintenance—so that the learning process tends to be conventional and teacher-centered, impacting the achievement of the Learning Objectives Achievement Criteria (KKTP) for students which is not optimal in 21 local public elementary schools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id-ID"/>
        </w:rPr>
        <w:instrText>ADDIN CSL_CITATION {"citationItems":[{"id":"ITEM-1","itemData":{"ISSN":"3046-5672","author":[{"dropping-particle":"","family":"Lestari","given":"Putri Maya","non-dropping-particle":"","parse-names":false,"suffix":""},{"dropping-particle":"","family":"Lian","given":"Bukman","non-dropping-particle":"","parse-names":false,"suffix":""},{"dropping-particle":"","family":"Mulyadi","given":"Mulyadi","non-dropping-particle":"","parse-names":false,"suffix":""}],"container-title":"Harmoni Pendidikan: Jurnal Ilmu Pendidikan","id":"ITEM-1","issue":"4","issued":{"date-parts":[["2025"]]},"page":"1-10","title":"Peranan Belajar Mengajar Berbasis Teknologi Informasi dalam Meningkatkan Mutu Pembelajaran","type":"article-journal","volume":"2"},"uris":["http://www.mendeley.com/documents/?uuid=f82f8eca-81cc-4053-93f7-db56754f0b04"]}],"mendeley":{"formattedCitation":"(Lestari et al., 2025)","plainTextFormattedCitation":"(Lestari et al., 2025)","previouslyFormattedCitation":"(Lestari et al., 2025)"},"properties":{"noteIndex":0},"schema":"https://github.com/citation-style-language/schema/raw/master/csl-citation.json"}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id-ID"/>
        </w:rPr>
        <w:t xml:space="preserve">(Lestari et al., 2025)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id-ID"/>
        </w:rPr>
        <w:t>.</w:t>
      </w:r>
    </w:p>
    <w:p w14:paraId="5AE426C9" w14:textId="69C22A74" w:rsidR="001545D9" w:rsidRPr="00D47213" w:rsidRDefault="00B04DEA" w:rsidP="00B04DEA">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Thus, research on "The Impact of Information and Communication Technology and Infrastructure on Learning Quality in Public Elementary Schools in Muara Telang District" is crucial. This research is expected to contribute to achieving the national target of improving the quality of elementary learning through innovation supported by sound infrastructure and integrated information systems, particularly at the elementary school level.</w:t>
      </w:r>
    </w:p>
    <w:p w14:paraId="2B3F4E07" w14:textId="77777777" w:rsidR="00B04DEA" w:rsidRPr="00D47213" w:rsidRDefault="00B04DEA" w:rsidP="00B04DEA">
      <w:pPr>
        <w:ind w:firstLine="567"/>
        <w:jc w:val="both"/>
        <w:rPr>
          <w:rFonts w:ascii="Baskerville Old Face" w:eastAsia="Cambria" w:hAnsi="Baskerville Old Face" w:cs="Cambria"/>
          <w:sz w:val="24"/>
          <w:szCs w:val="24"/>
          <w:lang w:val="id-ID"/>
        </w:rPr>
      </w:pPr>
    </w:p>
    <w:p w14:paraId="01EF15EB" w14:textId="11435E3C" w:rsidR="001545D9" w:rsidRPr="00D47213" w:rsidRDefault="003C495F" w:rsidP="000F089E">
      <w:pPr>
        <w:ind w:left="284" w:hanging="284"/>
        <w:rPr>
          <w:rFonts w:ascii="Baskerville Old Face" w:eastAsia="Cambria" w:hAnsi="Baskerville Old Face" w:cs="Cambria"/>
          <w:b/>
          <w:sz w:val="28"/>
          <w:szCs w:val="28"/>
        </w:rPr>
      </w:pPr>
      <w:r w:rsidRPr="00D47213">
        <w:rPr>
          <w:rFonts w:ascii="Baskerville Old Face" w:eastAsia="Cambria" w:hAnsi="Baskerville Old Face" w:cs="Cambria"/>
          <w:b/>
          <w:sz w:val="28"/>
          <w:szCs w:val="28"/>
        </w:rPr>
        <w:t>Methods</w:t>
      </w:r>
    </w:p>
    <w:p w14:paraId="28EF13C9" w14:textId="3BB738C7" w:rsidR="00F07181" w:rsidRPr="00D47213" w:rsidRDefault="00B04DEA" w:rsidP="00F07181">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en-ID"/>
        </w:rPr>
        <w:t>Study This use approach quantitative with type study explanatory approach</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quantitative used Because study This want to measure how much big influence use technology information and communication as well as quality means infrastructure to quality learning at the Muara Telang District Public Elementary School in form numbers that can analyzed with statistics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Type study explanatory chosen Because objective main study is explain connection cause - effect ( influence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between variables free ( use of ICT and facilities) infrastructure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variables bound (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en-ID"/>
        </w:rPr>
        <w:fldChar w:fldCharType="begin" w:fldLock="1"/>
      </w:r>
      <w:r w:rsidRPr="00D47213">
        <w:rPr>
          <w:rFonts w:ascii="Baskerville Old Face" w:eastAsia="Cambria" w:hAnsi="Baskerville Old Face" w:cs="Cambria"/>
          <w:sz w:val="24"/>
          <w:szCs w:val="24"/>
          <w:lang w:val="en-ID"/>
        </w:rPr>
        <w:instrText>ADDIN CSL_CITATION {"citationItems":[{"id":"ITEM-1","itemData":{"author":[{"dropping-particle":"","family":"Hermawan","given":"Muhamad Dede","non-dropping-particle":"","parse-names":false,"suffix":""}],"id":"ITEM-1","issued":{"date-parts":[["2021"]]},"publisher":"Institut PTIQ Jakarta","title":"Pengaruh Supervisi Akademik Dan Manajemen Sarana Prasarana Terhadap Mutu Pembelajaran Jarak Jauh (Studi Analisis Kuantitatif Pada Sekolah Dasar Islam Terpadu Salsabila Kota Bekasi)","type":"article"},"uris":["http://www.mendeley.com/documents/?uuid=652a61ad-501f-435e-a845-fe17d9b5f3c2"]}],"mendeley":{"formattedCitation":"(Hermawan, 2021)","plainTextFormattedCitation":"(Hermawan, 2021)","previouslyFormattedCitation":"(Hermawan, 2021)"},"properties":{"noteIndex":0},"schema":"https://github.com/citation-style-language/schema/raw/master/csl-citation.json"}</w:instrText>
      </w:r>
      <w:r w:rsidRPr="00D47213">
        <w:rPr>
          <w:rFonts w:ascii="Baskerville Old Face" w:eastAsia="Cambria" w:hAnsi="Baskerville Old Face" w:cs="Cambria"/>
          <w:sz w:val="24"/>
          <w:szCs w:val="24"/>
          <w:lang w:val="en-ID"/>
        </w:rPr>
        <w:fldChar w:fldCharType="separate"/>
      </w:r>
      <w:r w:rsidRPr="00D47213">
        <w:rPr>
          <w:rFonts w:ascii="Baskerville Old Face" w:eastAsia="Cambria" w:hAnsi="Baskerville Old Face" w:cs="Cambria"/>
          <w:sz w:val="24"/>
          <w:szCs w:val="24"/>
          <w:lang w:val="en-ID"/>
        </w:rPr>
        <w:t>( Hermawan</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2021) </w:t>
      </w:r>
      <w:r w:rsidRPr="00D47213">
        <w:rPr>
          <w:rFonts w:ascii="Baskerville Old Face" w:eastAsia="Cambria" w:hAnsi="Baskerville Old Face" w:cs="Cambria"/>
          <w:sz w:val="24"/>
          <w:szCs w:val="24"/>
          <w:lang w:val="en-ID"/>
        </w:rPr>
        <w:fldChar w:fldCharType="end"/>
      </w:r>
      <w:r w:rsidRPr="00D47213">
        <w:rPr>
          <w:rFonts w:ascii="Baskerville Old Face" w:eastAsia="Cambria" w:hAnsi="Baskerville Old Face" w:cs="Cambria"/>
          <w:sz w:val="24"/>
          <w:szCs w:val="24"/>
          <w:lang w:val="en-ID"/>
        </w:rPr>
        <w:t>.</w:t>
      </w:r>
      <w:r w:rsidRPr="00D47213">
        <w:rPr>
          <w:rFonts w:ascii="Baskerville Old Face" w:eastAsia="Cambria" w:hAnsi="Baskerville Old Face" w:cs="Cambria"/>
          <w:b/>
          <w:bCs/>
          <w:sz w:val="24"/>
          <w:szCs w:val="24"/>
          <w:lang w:val="id-ID"/>
        </w:rPr>
        <w:t xml:space="preserve"> </w:t>
      </w:r>
      <w:r w:rsidRPr="00D47213">
        <w:rPr>
          <w:rFonts w:ascii="Baskerville Old Face" w:eastAsia="Cambria" w:hAnsi="Baskerville Old Face" w:cs="Cambria"/>
          <w:sz w:val="24"/>
          <w:szCs w:val="24"/>
          <w:lang w:val="id-ID"/>
        </w:rPr>
        <w:t>In explanatory research, researchers build on existing theories, formulate hypotheses, and then test these hypotheses using field data. The results are expected to clarify whether the use of ICT and infrastructure influences the quality of learning at Muara Telang District Public Elementary Schools.</w:t>
      </w:r>
      <w:r w:rsidRPr="00D47213">
        <w:rPr>
          <w:rFonts w:ascii="Baskerville Old Face" w:eastAsia="Cambria" w:hAnsi="Baskerville Old Face" w:cs="Cambria"/>
          <w:b/>
          <w:bCs/>
          <w:sz w:val="24"/>
          <w:szCs w:val="24"/>
          <w:lang w:val="id-ID"/>
        </w:rPr>
        <w:t xml:space="preserve"> </w:t>
      </w:r>
      <w:r w:rsidRPr="00D47213">
        <w:rPr>
          <w:rFonts w:ascii="Baskerville Old Face" w:eastAsia="Cambria" w:hAnsi="Baskerville Old Face" w:cs="Cambria"/>
          <w:sz w:val="24"/>
          <w:szCs w:val="24"/>
          <w:lang w:val="id-ID"/>
        </w:rPr>
        <w:t>The following systematically describes the characteristics of the quantitative approach, types of explanatory research, and their relevance to the research objectives to be achieved.</w:t>
      </w:r>
      <w:r w:rsidR="00931879">
        <w:rPr>
          <w:rFonts w:ascii="Baskerville Old Face" w:eastAsia="Cambria" w:hAnsi="Baskerville Old Face" w:cs="Cambria"/>
          <w:sz w:val="24"/>
          <w:szCs w:val="24"/>
          <w:lang w:val="id-ID"/>
        </w:rPr>
        <w:t xml:space="preserve"> </w:t>
      </w:r>
      <w:r w:rsidRPr="00D47213">
        <w:rPr>
          <w:rFonts w:ascii="Baskerville Old Face" w:eastAsia="Cambria" w:hAnsi="Baskerville Old Face" w:cs="Cambria"/>
          <w:sz w:val="24"/>
          <w:szCs w:val="24"/>
          <w:lang w:val="id-ID"/>
        </w:rPr>
        <w:t>The type of research used in this study is explanatory research. This study aims not only to describe the conditions of ICT use, the quality of infrastructure, and the quality of learning in elementary schools in Muara Telang District, but also to explain whether ICT use and the quality of infrastructure have a significant influence on learning quality, and the extent of each variable's influence.</w:t>
      </w:r>
    </w:p>
    <w:p w14:paraId="35BE02A0" w14:textId="552D28C6" w:rsidR="00B04DEA" w:rsidRPr="00D47213" w:rsidRDefault="00B04DEA" w:rsidP="0069387F">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en-ID"/>
        </w:rPr>
        <w:t xml:space="preserve">The population in this study was all elementary school teachers in Muara Telang District. </w:t>
      </w:r>
      <w:r w:rsidRPr="00D47213">
        <w:rPr>
          <w:rFonts w:ascii="Baskerville Old Face" w:eastAsia="Cambria" w:hAnsi="Baskerville Old Face" w:cs="Cambria"/>
          <w:sz w:val="24"/>
          <w:szCs w:val="24"/>
          <w:lang w:val="id-ID"/>
        </w:rPr>
        <w:t xml:space="preserve">The sample in this study was a portion of the population of public elementary school teachers in Muara Telang District, selected to represent the entire population. The sample selection was carried out considering the limitations of time, energy, and costs, while still prioritizing representativeness. Thus, the sample characteristics were expected to describe the condition of public elementary school teachers in Muara Telang District in general. The data collection technique </w:t>
      </w:r>
      <w:r w:rsidRPr="00D47213">
        <w:rPr>
          <w:rFonts w:ascii="Baskerville Old Face" w:eastAsia="Cambria" w:hAnsi="Baskerville Old Face" w:cs="Cambria"/>
          <w:sz w:val="24"/>
          <w:szCs w:val="24"/>
          <w:lang w:val="en-ID"/>
        </w:rPr>
        <w:t>used was study This use cluster sampling technique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technique chosen Because Subject study spread across many schools (21 public elementary schools) located far apart in rural areas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Cluster Sampling is sampling techniques used For determine sample when the object to be investigated or The data sources are very extensive ( Sugiyono</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2020). </w:t>
      </w:r>
      <w:r w:rsidR="00F07181" w:rsidRPr="00D47213">
        <w:rPr>
          <w:rFonts w:ascii="Baskerville Old Face" w:eastAsia="Cambria" w:hAnsi="Baskerville Old Face" w:cs="Cambria"/>
          <w:sz w:val="24"/>
          <w:szCs w:val="24"/>
          <w:lang w:val="en-ID"/>
        </w:rPr>
        <w:t xml:space="preserve">The data analysis techniques in this study used normality tests, linearity tests, </w:t>
      </w:r>
      <w:r w:rsidR="00F07181" w:rsidRPr="00D47213">
        <w:rPr>
          <w:rFonts w:ascii="Baskerville Old Face" w:eastAsia="Cambria" w:hAnsi="Baskerville Old Face" w:cs="Cambria"/>
          <w:sz w:val="24"/>
          <w:szCs w:val="24"/>
          <w:lang w:val="id-ID"/>
        </w:rPr>
        <w:t>multicollinearity tests, and multiple linear regression.</w:t>
      </w:r>
    </w:p>
    <w:p w14:paraId="14AE6D86" w14:textId="77777777" w:rsidR="001545D9" w:rsidRDefault="001545D9">
      <w:pPr>
        <w:rPr>
          <w:rFonts w:ascii="Baskerville Old Face" w:eastAsia="Cambria" w:hAnsi="Baskerville Old Face" w:cs="Cambria"/>
          <w:b/>
          <w:sz w:val="24"/>
          <w:szCs w:val="24"/>
          <w:lang w:val="id-ID"/>
        </w:rPr>
      </w:pPr>
    </w:p>
    <w:p w14:paraId="72AEE794" w14:textId="77777777" w:rsidR="00D47213" w:rsidRDefault="00D47213">
      <w:pPr>
        <w:rPr>
          <w:rFonts w:ascii="Baskerville Old Face" w:eastAsia="Cambria" w:hAnsi="Baskerville Old Face" w:cs="Cambria"/>
          <w:b/>
          <w:sz w:val="24"/>
          <w:szCs w:val="24"/>
          <w:lang w:val="id-ID"/>
        </w:rPr>
      </w:pPr>
    </w:p>
    <w:p w14:paraId="309D60D9" w14:textId="77777777" w:rsidR="00D47213" w:rsidRPr="00D47213" w:rsidRDefault="00D47213">
      <w:pPr>
        <w:rPr>
          <w:rFonts w:ascii="Baskerville Old Face" w:eastAsia="Cambria" w:hAnsi="Baskerville Old Face" w:cs="Cambria"/>
          <w:b/>
          <w:sz w:val="24"/>
          <w:szCs w:val="24"/>
          <w:lang w:val="id-ID"/>
        </w:rPr>
      </w:pPr>
    </w:p>
    <w:p w14:paraId="2A79C8CF" w14:textId="312F5081" w:rsidR="001545D9" w:rsidRPr="00D47213" w:rsidRDefault="003C495F" w:rsidP="00815BD0">
      <w:pPr>
        <w:rPr>
          <w:rFonts w:ascii="Baskerville Old Face" w:eastAsia="Cambria" w:hAnsi="Baskerville Old Face" w:cs="Cambria"/>
          <w:b/>
          <w:sz w:val="28"/>
          <w:szCs w:val="28"/>
        </w:rPr>
      </w:pPr>
      <w:r w:rsidRPr="00D47213">
        <w:rPr>
          <w:rFonts w:ascii="Baskerville Old Face" w:eastAsia="Cambria" w:hAnsi="Baskerville Old Face" w:cs="Cambria"/>
          <w:b/>
          <w:sz w:val="28"/>
          <w:szCs w:val="28"/>
        </w:rPr>
        <w:lastRenderedPageBreak/>
        <w:t>Results and Discussions</w:t>
      </w:r>
    </w:p>
    <w:p w14:paraId="43A52596" w14:textId="0C8369AB" w:rsidR="005144C4" w:rsidRPr="005144C4" w:rsidRDefault="005144C4" w:rsidP="005144C4">
      <w:pPr>
        <w:pStyle w:val="ListParagraph"/>
        <w:numPr>
          <w:ilvl w:val="0"/>
          <w:numId w:val="24"/>
        </w:numPr>
        <w:spacing w:after="0" w:line="240" w:lineRule="auto"/>
        <w:ind w:left="364"/>
        <w:contextualSpacing w:val="0"/>
        <w:jc w:val="both"/>
        <w:rPr>
          <w:rFonts w:ascii="Baskerville Old Face" w:eastAsia="Cambria" w:hAnsi="Baskerville Old Face" w:cs="Cambria"/>
          <w:b/>
          <w:bCs/>
          <w:sz w:val="28"/>
          <w:szCs w:val="28"/>
          <w:lang w:val="en-ID"/>
        </w:rPr>
      </w:pPr>
      <w:r w:rsidRPr="005144C4">
        <w:rPr>
          <w:rFonts w:ascii="Baskerville Old Face" w:eastAsia="Cambria" w:hAnsi="Baskerville Old Face" w:cs="Cambria"/>
          <w:b/>
          <w:bCs/>
          <w:sz w:val="28"/>
          <w:szCs w:val="28"/>
          <w:lang w:val="en-ID"/>
        </w:rPr>
        <w:t>Results</w:t>
      </w:r>
    </w:p>
    <w:p w14:paraId="5A338D86" w14:textId="1A6C311F" w:rsidR="0069387F" w:rsidRPr="00D47213" w:rsidRDefault="0069387F" w:rsidP="005144C4">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Researchers can identify valid and reliable items so that worthy used in research</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as well as do revision or deletion to the item that is not fulfil criteria</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instruments used in study main absolutely valid and consistent in measure variables Use of ICT, Quality of Facilities and Infrastructure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and Quality of Learning</w:t>
      </w:r>
      <w:r w:rsidR="00D10F08">
        <w:rPr>
          <w:rFonts w:ascii="Baskerville Old Face" w:eastAsia="Cambria" w:hAnsi="Baskerville Old Face" w:cs="Cambria"/>
          <w:sz w:val="24"/>
          <w:szCs w:val="24"/>
          <w:lang w:val="en-ID"/>
        </w:rPr>
        <w:t>.</w:t>
      </w:r>
    </w:p>
    <w:p w14:paraId="61DEC84A" w14:textId="63E959AA"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Description Respondents Study</w:t>
      </w:r>
    </w:p>
    <w:p w14:paraId="04A69189" w14:textId="77777777" w:rsidR="00D47213" w:rsidRPr="00D47213" w:rsidRDefault="00D47213" w:rsidP="00D47213">
      <w:pPr>
        <w:jc w:val="center"/>
        <w:rPr>
          <w:rFonts w:ascii="Baskerville Old Face" w:eastAsia="Cambria" w:hAnsi="Baskerville Old Face" w:cs="Cambria"/>
          <w:sz w:val="12"/>
          <w:szCs w:val="12"/>
          <w:lang w:val="en-ID"/>
        </w:rPr>
      </w:pPr>
    </w:p>
    <w:p w14:paraId="3AB6AC0E" w14:textId="25E95D21"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b/>
          <w:bCs/>
          <w:sz w:val="24"/>
          <w:szCs w:val="24"/>
          <w:lang w:val="en-ID"/>
        </w:rPr>
        <w:t>Table 1.</w:t>
      </w:r>
      <w:r w:rsidRPr="00D47213">
        <w:rPr>
          <w:rFonts w:ascii="Baskerville Old Face" w:eastAsia="Cambria" w:hAnsi="Baskerville Old Face" w:cs="Cambria"/>
          <w:sz w:val="24"/>
          <w:szCs w:val="24"/>
          <w:lang w:val="en-ID"/>
        </w:rPr>
        <w:t xml:space="preserve"> Distribution Respondents Based on Type Sex</w:t>
      </w:r>
    </w:p>
    <w:tbl>
      <w:tblPr>
        <w:tblW w:w="5000" w:type="pct"/>
        <w:jc w:val="center"/>
        <w:tblLook w:val="04A0" w:firstRow="1" w:lastRow="0" w:firstColumn="1" w:lastColumn="0" w:noHBand="0" w:noVBand="1"/>
      </w:tblPr>
      <w:tblGrid>
        <w:gridCol w:w="3227"/>
        <w:gridCol w:w="2973"/>
        <w:gridCol w:w="3439"/>
      </w:tblGrid>
      <w:tr w:rsidR="00DC6E2B" w:rsidRPr="00D47213" w14:paraId="00927A17" w14:textId="77777777" w:rsidTr="00D47213">
        <w:trPr>
          <w:jc w:val="center"/>
        </w:trPr>
        <w:tc>
          <w:tcPr>
            <w:tcW w:w="1674" w:type="pct"/>
            <w:tcBorders>
              <w:top w:val="single" w:sz="4" w:space="0" w:color="auto"/>
              <w:bottom w:val="single" w:sz="4" w:space="0" w:color="auto"/>
            </w:tcBorders>
            <w:vAlign w:val="center"/>
            <w:hideMark/>
          </w:tcPr>
          <w:p w14:paraId="0CF3618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Type Sex</w:t>
            </w:r>
          </w:p>
        </w:tc>
        <w:tc>
          <w:tcPr>
            <w:tcW w:w="1542" w:type="pct"/>
            <w:tcBorders>
              <w:top w:val="single" w:sz="4" w:space="0" w:color="auto"/>
              <w:bottom w:val="single" w:sz="4" w:space="0" w:color="auto"/>
            </w:tcBorders>
            <w:vAlign w:val="center"/>
            <w:hideMark/>
          </w:tcPr>
          <w:p w14:paraId="6FF0C2EB"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Frequency</w:t>
            </w:r>
          </w:p>
        </w:tc>
        <w:tc>
          <w:tcPr>
            <w:tcW w:w="1784" w:type="pct"/>
            <w:tcBorders>
              <w:top w:val="single" w:sz="4" w:space="0" w:color="auto"/>
              <w:bottom w:val="single" w:sz="4" w:space="0" w:color="auto"/>
            </w:tcBorders>
            <w:vAlign w:val="center"/>
            <w:hideMark/>
          </w:tcPr>
          <w:p w14:paraId="0272938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Percentage (%)</w:t>
            </w:r>
          </w:p>
        </w:tc>
      </w:tr>
      <w:tr w:rsidR="00DC6E2B" w:rsidRPr="00D47213" w14:paraId="3BC2B71A" w14:textId="77777777" w:rsidTr="00D47213">
        <w:trPr>
          <w:jc w:val="center"/>
        </w:trPr>
        <w:tc>
          <w:tcPr>
            <w:tcW w:w="1674" w:type="pct"/>
            <w:tcBorders>
              <w:top w:val="single" w:sz="4" w:space="0" w:color="auto"/>
            </w:tcBorders>
            <w:vAlign w:val="center"/>
            <w:hideMark/>
          </w:tcPr>
          <w:p w14:paraId="0E6261E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Man</w:t>
            </w:r>
          </w:p>
        </w:tc>
        <w:tc>
          <w:tcPr>
            <w:tcW w:w="1542" w:type="pct"/>
            <w:tcBorders>
              <w:top w:val="single" w:sz="4" w:space="0" w:color="auto"/>
            </w:tcBorders>
            <w:vAlign w:val="center"/>
            <w:hideMark/>
          </w:tcPr>
          <w:p w14:paraId="6F51D4F0"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43</w:t>
            </w:r>
          </w:p>
        </w:tc>
        <w:tc>
          <w:tcPr>
            <w:tcW w:w="1784" w:type="pct"/>
            <w:tcBorders>
              <w:top w:val="single" w:sz="4" w:space="0" w:color="auto"/>
            </w:tcBorders>
            <w:vAlign w:val="center"/>
            <w:hideMark/>
          </w:tcPr>
          <w:p w14:paraId="3162F0F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42.16</w:t>
            </w:r>
          </w:p>
        </w:tc>
      </w:tr>
      <w:tr w:rsidR="00DC6E2B" w:rsidRPr="00D47213" w14:paraId="2F3D4913" w14:textId="77777777" w:rsidTr="00D47213">
        <w:trPr>
          <w:jc w:val="center"/>
        </w:trPr>
        <w:tc>
          <w:tcPr>
            <w:tcW w:w="1674" w:type="pct"/>
            <w:vAlign w:val="center"/>
            <w:hideMark/>
          </w:tcPr>
          <w:p w14:paraId="37F740F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Woman</w:t>
            </w:r>
          </w:p>
        </w:tc>
        <w:tc>
          <w:tcPr>
            <w:tcW w:w="1542" w:type="pct"/>
            <w:vAlign w:val="center"/>
            <w:hideMark/>
          </w:tcPr>
          <w:p w14:paraId="2383A8A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59</w:t>
            </w:r>
          </w:p>
        </w:tc>
        <w:tc>
          <w:tcPr>
            <w:tcW w:w="1784" w:type="pct"/>
            <w:vAlign w:val="center"/>
            <w:hideMark/>
          </w:tcPr>
          <w:p w14:paraId="0CEB0576"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57.84</w:t>
            </w:r>
          </w:p>
        </w:tc>
      </w:tr>
      <w:tr w:rsidR="00DC6E2B" w:rsidRPr="00D47213" w14:paraId="2A279A8D" w14:textId="77777777" w:rsidTr="00D47213">
        <w:trPr>
          <w:jc w:val="center"/>
        </w:trPr>
        <w:tc>
          <w:tcPr>
            <w:tcW w:w="1674" w:type="pct"/>
            <w:tcBorders>
              <w:bottom w:val="single" w:sz="4" w:space="0" w:color="auto"/>
            </w:tcBorders>
            <w:vAlign w:val="center"/>
            <w:hideMark/>
          </w:tcPr>
          <w:p w14:paraId="5D29232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Amount</w:t>
            </w:r>
          </w:p>
        </w:tc>
        <w:tc>
          <w:tcPr>
            <w:tcW w:w="1542" w:type="pct"/>
            <w:tcBorders>
              <w:bottom w:val="single" w:sz="4" w:space="0" w:color="auto"/>
            </w:tcBorders>
            <w:vAlign w:val="center"/>
            <w:hideMark/>
          </w:tcPr>
          <w:p w14:paraId="0E35C943"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1784" w:type="pct"/>
            <w:tcBorders>
              <w:bottom w:val="single" w:sz="4" w:space="0" w:color="auto"/>
            </w:tcBorders>
            <w:vAlign w:val="center"/>
            <w:hideMark/>
          </w:tcPr>
          <w:p w14:paraId="4076D71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100.00</w:t>
            </w:r>
          </w:p>
        </w:tc>
      </w:tr>
    </w:tbl>
    <w:p w14:paraId="4C60E857" w14:textId="77777777" w:rsidR="00DC6E2B" w:rsidRPr="00D47213" w:rsidRDefault="00DC6E2B" w:rsidP="00DC6E2B">
      <w:pPr>
        <w:jc w:val="both"/>
        <w:rPr>
          <w:rFonts w:ascii="Baskerville Old Face" w:eastAsia="Cambria" w:hAnsi="Baskerville Old Face" w:cs="Cambria"/>
          <w:sz w:val="24"/>
          <w:szCs w:val="24"/>
          <w:lang w:val="en-ID"/>
        </w:rPr>
      </w:pPr>
    </w:p>
    <w:p w14:paraId="1DA0F0F3" w14:textId="0D9989B0" w:rsidR="00D10F08"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From the data above known that respondents Woman totaling 59 people or 57.84%, while respondents man totaling 43 people or 42.16%. The data show that part big respondents in study This is a female teacher</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Condition This in line with characteristics power educators at the level school the general basis dominated by female teachers</w:t>
      </w:r>
      <w:r w:rsidR="00D10F08">
        <w:rPr>
          <w:rFonts w:ascii="Baskerville Old Face" w:eastAsia="Cambria" w:hAnsi="Baskerville Old Face" w:cs="Cambria"/>
          <w:sz w:val="24"/>
          <w:szCs w:val="24"/>
          <w:lang w:val="en-ID"/>
        </w:rPr>
        <w:t>.</w:t>
      </w:r>
    </w:p>
    <w:p w14:paraId="688F6F53" w14:textId="77777777"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Description of Information and Communication Technology Usage Variables</w:t>
      </w:r>
    </w:p>
    <w:p w14:paraId="25AD9E6A" w14:textId="77777777" w:rsidR="00D47213" w:rsidRPr="00D47213" w:rsidRDefault="00D47213" w:rsidP="00DC6E2B">
      <w:pPr>
        <w:jc w:val="center"/>
        <w:rPr>
          <w:rFonts w:ascii="Baskerville Old Face" w:eastAsia="Cambria" w:hAnsi="Baskerville Old Face" w:cs="Cambria"/>
          <w:sz w:val="12"/>
          <w:szCs w:val="12"/>
          <w:lang w:val="en-ID"/>
        </w:rPr>
      </w:pPr>
    </w:p>
    <w:p w14:paraId="03424885" w14:textId="2D1D0BB2" w:rsidR="00DC6E2B" w:rsidRPr="00D47213" w:rsidRDefault="00DC6E2B" w:rsidP="00DC6E2B">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b/>
          <w:bCs/>
          <w:sz w:val="24"/>
          <w:szCs w:val="24"/>
          <w:lang w:val="en-ID"/>
        </w:rPr>
        <w:t>Table 2.</w:t>
      </w:r>
      <w:r w:rsidRPr="00D47213">
        <w:rPr>
          <w:rFonts w:ascii="Baskerville Old Face" w:eastAsia="Cambria" w:hAnsi="Baskerville Old Face" w:cs="Cambria"/>
          <w:sz w:val="24"/>
          <w:szCs w:val="24"/>
          <w:lang w:val="en-ID"/>
        </w:rPr>
        <w:t xml:space="preserve"> Statistics Descriptive Variables Use of ICT (X </w:t>
      </w:r>
      <w:r w:rsidRPr="00D47213">
        <w:rPr>
          <w:rFonts w:ascii="Cambria Math" w:eastAsia="Cambria" w:hAnsi="Cambria Math" w:cs="Cambria Math"/>
          <w:sz w:val="24"/>
          <w:szCs w:val="24"/>
          <w:lang w:val="en-ID"/>
        </w:rPr>
        <w:t>₁</w:t>
      </w:r>
      <w:r w:rsidR="00D10F08">
        <w:rPr>
          <w:rFonts w:ascii="Baskerville Old Face" w:eastAsia="Cambria" w:hAnsi="Baskerville Old Face"/>
          <w:sz w:val="24"/>
          <w:szCs w:val="24"/>
          <w:lang w:val="en-ID"/>
        </w:rPr>
        <w:t>)</w:t>
      </w:r>
    </w:p>
    <w:tbl>
      <w:tblPr>
        <w:tblW w:w="5000" w:type="pct"/>
        <w:jc w:val="center"/>
        <w:tblLook w:val="04A0" w:firstRow="1" w:lastRow="0" w:firstColumn="1" w:lastColumn="0" w:noHBand="0" w:noVBand="1"/>
      </w:tblPr>
      <w:tblGrid>
        <w:gridCol w:w="1189"/>
        <w:gridCol w:w="1615"/>
        <w:gridCol w:w="1365"/>
        <w:gridCol w:w="1598"/>
        <w:gridCol w:w="1051"/>
        <w:gridCol w:w="1130"/>
        <w:gridCol w:w="1691"/>
      </w:tblGrid>
      <w:tr w:rsidR="00DC6E2B" w:rsidRPr="00D47213" w14:paraId="07F9FBE1" w14:textId="77777777" w:rsidTr="00D47213">
        <w:trPr>
          <w:trHeight w:val="573"/>
          <w:jc w:val="center"/>
        </w:trPr>
        <w:tc>
          <w:tcPr>
            <w:tcW w:w="617" w:type="pct"/>
            <w:tcBorders>
              <w:top w:val="single" w:sz="4" w:space="0" w:color="auto"/>
              <w:bottom w:val="single" w:sz="4" w:space="0" w:color="auto"/>
            </w:tcBorders>
            <w:vAlign w:val="center"/>
            <w:hideMark/>
          </w:tcPr>
          <w:p w14:paraId="20E4B5B7"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Statistics</w:t>
            </w:r>
          </w:p>
        </w:tc>
        <w:tc>
          <w:tcPr>
            <w:tcW w:w="838" w:type="pct"/>
            <w:tcBorders>
              <w:top w:val="single" w:sz="4" w:space="0" w:color="auto"/>
              <w:bottom w:val="single" w:sz="4" w:space="0" w:color="auto"/>
            </w:tcBorders>
            <w:vAlign w:val="center"/>
            <w:hideMark/>
          </w:tcPr>
          <w:p w14:paraId="011BE51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Respondents</w:t>
            </w:r>
          </w:p>
        </w:tc>
        <w:tc>
          <w:tcPr>
            <w:tcW w:w="708" w:type="pct"/>
            <w:tcBorders>
              <w:top w:val="single" w:sz="4" w:space="0" w:color="auto"/>
              <w:bottom w:val="single" w:sz="4" w:space="0" w:color="auto"/>
            </w:tcBorders>
            <w:vAlign w:val="center"/>
            <w:hideMark/>
          </w:tcPr>
          <w:p w14:paraId="26301891"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Min Score</w:t>
            </w:r>
          </w:p>
        </w:tc>
        <w:tc>
          <w:tcPr>
            <w:tcW w:w="829" w:type="pct"/>
            <w:tcBorders>
              <w:top w:val="single" w:sz="4" w:space="0" w:color="auto"/>
              <w:bottom w:val="single" w:sz="4" w:space="0" w:color="auto"/>
            </w:tcBorders>
            <w:vAlign w:val="center"/>
            <w:hideMark/>
          </w:tcPr>
          <w:p w14:paraId="1E2B4686"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Max Score</w:t>
            </w:r>
          </w:p>
        </w:tc>
        <w:tc>
          <w:tcPr>
            <w:tcW w:w="545" w:type="pct"/>
            <w:tcBorders>
              <w:top w:val="single" w:sz="4" w:space="0" w:color="auto"/>
              <w:bottom w:val="single" w:sz="4" w:space="0" w:color="auto"/>
            </w:tcBorders>
            <w:vAlign w:val="center"/>
            <w:hideMark/>
          </w:tcPr>
          <w:p w14:paraId="7D3D4B7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Mean</w:t>
            </w:r>
          </w:p>
        </w:tc>
        <w:tc>
          <w:tcPr>
            <w:tcW w:w="586" w:type="pct"/>
            <w:tcBorders>
              <w:top w:val="single" w:sz="4" w:space="0" w:color="auto"/>
              <w:bottom w:val="single" w:sz="4" w:space="0" w:color="auto"/>
            </w:tcBorders>
            <w:vAlign w:val="center"/>
            <w:hideMark/>
          </w:tcPr>
          <w:p w14:paraId="33853969"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Median</w:t>
            </w:r>
          </w:p>
        </w:tc>
        <w:tc>
          <w:tcPr>
            <w:tcW w:w="877" w:type="pct"/>
            <w:tcBorders>
              <w:top w:val="single" w:sz="4" w:space="0" w:color="auto"/>
              <w:bottom w:val="single" w:sz="4" w:space="0" w:color="auto"/>
            </w:tcBorders>
            <w:vAlign w:val="center"/>
            <w:hideMark/>
          </w:tcPr>
          <w:p w14:paraId="18F8484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Deviation</w:t>
            </w:r>
          </w:p>
        </w:tc>
      </w:tr>
      <w:tr w:rsidR="00DC6E2B" w:rsidRPr="00D47213" w14:paraId="5CB8F82E" w14:textId="77777777" w:rsidTr="00D47213">
        <w:trPr>
          <w:trHeight w:val="506"/>
          <w:jc w:val="center"/>
        </w:trPr>
        <w:tc>
          <w:tcPr>
            <w:tcW w:w="617" w:type="pct"/>
            <w:tcBorders>
              <w:top w:val="single" w:sz="4" w:space="0" w:color="auto"/>
              <w:bottom w:val="single" w:sz="4" w:space="0" w:color="auto"/>
            </w:tcBorders>
            <w:vAlign w:val="center"/>
            <w:hideMark/>
          </w:tcPr>
          <w:p w14:paraId="1C4094AC"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Mark</w:t>
            </w:r>
          </w:p>
        </w:tc>
        <w:tc>
          <w:tcPr>
            <w:tcW w:w="838" w:type="pct"/>
            <w:tcBorders>
              <w:top w:val="single" w:sz="4" w:space="0" w:color="auto"/>
              <w:bottom w:val="single" w:sz="4" w:space="0" w:color="auto"/>
            </w:tcBorders>
            <w:vAlign w:val="center"/>
            <w:hideMark/>
          </w:tcPr>
          <w:p w14:paraId="74944B3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201</w:t>
            </w:r>
          </w:p>
        </w:tc>
        <w:tc>
          <w:tcPr>
            <w:tcW w:w="708" w:type="pct"/>
            <w:tcBorders>
              <w:top w:val="single" w:sz="4" w:space="0" w:color="auto"/>
              <w:bottom w:val="single" w:sz="4" w:space="0" w:color="auto"/>
            </w:tcBorders>
            <w:vAlign w:val="center"/>
            <w:hideMark/>
          </w:tcPr>
          <w:p w14:paraId="7816A12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92</w:t>
            </w:r>
          </w:p>
        </w:tc>
        <w:tc>
          <w:tcPr>
            <w:tcW w:w="829" w:type="pct"/>
            <w:tcBorders>
              <w:top w:val="single" w:sz="4" w:space="0" w:color="auto"/>
              <w:bottom w:val="single" w:sz="4" w:space="0" w:color="auto"/>
            </w:tcBorders>
            <w:vAlign w:val="center"/>
            <w:hideMark/>
          </w:tcPr>
          <w:p w14:paraId="173107B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138</w:t>
            </w:r>
          </w:p>
        </w:tc>
        <w:tc>
          <w:tcPr>
            <w:tcW w:w="545" w:type="pct"/>
            <w:tcBorders>
              <w:top w:val="single" w:sz="4" w:space="0" w:color="auto"/>
              <w:bottom w:val="single" w:sz="4" w:space="0" w:color="auto"/>
            </w:tcBorders>
            <w:vAlign w:val="center"/>
            <w:hideMark/>
          </w:tcPr>
          <w:p w14:paraId="4F02F53D"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114.58</w:t>
            </w:r>
          </w:p>
        </w:tc>
        <w:tc>
          <w:tcPr>
            <w:tcW w:w="586" w:type="pct"/>
            <w:tcBorders>
              <w:top w:val="single" w:sz="4" w:space="0" w:color="auto"/>
              <w:bottom w:val="single" w:sz="4" w:space="0" w:color="auto"/>
            </w:tcBorders>
            <w:vAlign w:val="center"/>
            <w:hideMark/>
          </w:tcPr>
          <w:p w14:paraId="3F87109C"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114.50</w:t>
            </w:r>
          </w:p>
        </w:tc>
        <w:tc>
          <w:tcPr>
            <w:tcW w:w="877" w:type="pct"/>
            <w:tcBorders>
              <w:top w:val="single" w:sz="4" w:space="0" w:color="auto"/>
              <w:bottom w:val="single" w:sz="4" w:space="0" w:color="auto"/>
            </w:tcBorders>
            <w:vAlign w:val="center"/>
            <w:hideMark/>
          </w:tcPr>
          <w:p w14:paraId="3B94F64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8.48</w:t>
            </w:r>
          </w:p>
        </w:tc>
      </w:tr>
    </w:tbl>
    <w:p w14:paraId="18797305" w14:textId="77777777" w:rsidR="00DC6E2B" w:rsidRPr="00D47213" w:rsidRDefault="00DC6E2B" w:rsidP="00DC6E2B">
      <w:pPr>
        <w:jc w:val="both"/>
        <w:rPr>
          <w:rFonts w:ascii="Baskerville Old Face" w:eastAsia="Cambria" w:hAnsi="Baskerville Old Face" w:cs="Cambria"/>
          <w:sz w:val="24"/>
          <w:szCs w:val="24"/>
          <w:lang w:val="en-ID"/>
        </w:rPr>
      </w:pPr>
    </w:p>
    <w:p w14:paraId="063E538C" w14:textId="77777777" w:rsidR="00DC6E2B"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Based on the table above, the average score for ICT Usage is 114.58, with a minimum score of 92 and a maximum score of 138. This relatively high average score indicates that the use of information and communication technology by State Elementary School teachers in Muara Telang District has been running well. Teachers have utilized various digital devices and media to support the learning process, making teaching and learning activities more effective and engaging for students.</w:t>
      </w:r>
    </w:p>
    <w:p w14:paraId="2017D556" w14:textId="6D8A2329"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Description of Infrastructure Quality Variable (X</w:t>
      </w:r>
      <w:r w:rsidRPr="00D47213">
        <w:rPr>
          <w:rFonts w:ascii="Cambria Math" w:eastAsia="Cambria" w:hAnsi="Cambria Math" w:cs="Cambria Math"/>
          <w:b/>
          <w:bCs/>
          <w:sz w:val="28"/>
          <w:szCs w:val="28"/>
          <w:lang w:val="en-ID"/>
        </w:rPr>
        <w:t>₂</w:t>
      </w:r>
      <w:r w:rsidRPr="00D47213">
        <w:rPr>
          <w:rFonts w:ascii="Baskerville Old Face" w:eastAsia="Cambria" w:hAnsi="Baskerville Old Face" w:cs="Cambria"/>
          <w:b/>
          <w:bCs/>
          <w:sz w:val="28"/>
          <w:szCs w:val="28"/>
          <w:lang w:val="en-ID"/>
        </w:rPr>
        <w:t>)</w:t>
      </w:r>
    </w:p>
    <w:p w14:paraId="4D6015EA" w14:textId="77777777" w:rsidR="00DC6E2B"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The Quality of Facilities and Infrastructure variable describes the condition of educational facilities available at the school, including classrooms, learning media, libraries, technology facilities, and other supporting facilities.</w:t>
      </w:r>
    </w:p>
    <w:p w14:paraId="32DC0A88" w14:textId="77777777" w:rsidR="00D47213" w:rsidRPr="00D47213" w:rsidRDefault="00D47213" w:rsidP="00D47213">
      <w:pPr>
        <w:ind w:firstLine="567"/>
        <w:jc w:val="both"/>
        <w:rPr>
          <w:rFonts w:ascii="Baskerville Old Face" w:eastAsia="Cambria" w:hAnsi="Baskerville Old Face" w:cs="Cambria"/>
          <w:b/>
          <w:bCs/>
          <w:sz w:val="12"/>
          <w:szCs w:val="12"/>
          <w:lang w:val="en-ID"/>
        </w:rPr>
      </w:pPr>
    </w:p>
    <w:p w14:paraId="7A358B65" w14:textId="66163C83" w:rsidR="00DC6E2B" w:rsidRPr="00D47213" w:rsidRDefault="00DC6E2B" w:rsidP="00DC6E2B">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b/>
          <w:bCs/>
          <w:sz w:val="24"/>
          <w:szCs w:val="24"/>
          <w:lang w:val="en-ID"/>
        </w:rPr>
        <w:t>Table 3.</w:t>
      </w:r>
      <w:r w:rsidRPr="00D47213">
        <w:rPr>
          <w:rFonts w:ascii="Baskerville Old Face" w:eastAsia="Cambria" w:hAnsi="Baskerville Old Face" w:cs="Cambria"/>
          <w:sz w:val="24"/>
          <w:szCs w:val="24"/>
          <w:lang w:val="en-ID"/>
        </w:rPr>
        <w:t xml:space="preserve"> Descriptive Statistics of Infrastructure Quality Variable (X </w:t>
      </w:r>
      <w:r w:rsidRPr="00D47213">
        <w:rPr>
          <w:rFonts w:ascii="Cambria Math" w:eastAsia="Cambria" w:hAnsi="Cambria Math" w:cs="Cambria Math"/>
          <w:sz w:val="24"/>
          <w:szCs w:val="24"/>
          <w:lang w:val="en-ID"/>
        </w:rPr>
        <w:t>₂</w:t>
      </w:r>
      <w:r w:rsidR="00D10F08">
        <w:rPr>
          <w:rFonts w:ascii="Baskerville Old Face" w:eastAsia="Cambria" w:hAnsi="Baskerville Old Face"/>
          <w:sz w:val="24"/>
          <w:szCs w:val="24"/>
          <w:lang w:val="en-ID"/>
        </w:rPr>
        <w:t>)</w:t>
      </w:r>
    </w:p>
    <w:tbl>
      <w:tblPr>
        <w:tblW w:w="5000" w:type="pct"/>
        <w:jc w:val="center"/>
        <w:tblLook w:val="04A0" w:firstRow="1" w:lastRow="0" w:firstColumn="1" w:lastColumn="0" w:noHBand="0" w:noVBand="1"/>
      </w:tblPr>
      <w:tblGrid>
        <w:gridCol w:w="1189"/>
        <w:gridCol w:w="1615"/>
        <w:gridCol w:w="1365"/>
        <w:gridCol w:w="1598"/>
        <w:gridCol w:w="1051"/>
        <w:gridCol w:w="1130"/>
        <w:gridCol w:w="1691"/>
      </w:tblGrid>
      <w:tr w:rsidR="00DC6E2B" w:rsidRPr="00D47213" w14:paraId="1360B005" w14:textId="77777777" w:rsidTr="00D47213">
        <w:trPr>
          <w:trHeight w:val="573"/>
          <w:jc w:val="center"/>
        </w:trPr>
        <w:tc>
          <w:tcPr>
            <w:tcW w:w="617" w:type="pct"/>
            <w:tcBorders>
              <w:top w:val="single" w:sz="4" w:space="0" w:color="auto"/>
              <w:bottom w:val="single" w:sz="4" w:space="0" w:color="auto"/>
            </w:tcBorders>
            <w:vAlign w:val="center"/>
            <w:hideMark/>
          </w:tcPr>
          <w:p w14:paraId="73319647"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Statistics</w:t>
            </w:r>
          </w:p>
        </w:tc>
        <w:tc>
          <w:tcPr>
            <w:tcW w:w="838" w:type="pct"/>
            <w:tcBorders>
              <w:top w:val="single" w:sz="4" w:space="0" w:color="auto"/>
              <w:bottom w:val="single" w:sz="4" w:space="0" w:color="auto"/>
            </w:tcBorders>
            <w:vAlign w:val="center"/>
            <w:hideMark/>
          </w:tcPr>
          <w:p w14:paraId="505F13E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Respondents</w:t>
            </w:r>
          </w:p>
        </w:tc>
        <w:tc>
          <w:tcPr>
            <w:tcW w:w="708" w:type="pct"/>
            <w:tcBorders>
              <w:top w:val="single" w:sz="4" w:space="0" w:color="auto"/>
              <w:bottom w:val="single" w:sz="4" w:space="0" w:color="auto"/>
            </w:tcBorders>
            <w:vAlign w:val="center"/>
            <w:hideMark/>
          </w:tcPr>
          <w:p w14:paraId="6A8B9DB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Min Score</w:t>
            </w:r>
          </w:p>
        </w:tc>
        <w:tc>
          <w:tcPr>
            <w:tcW w:w="829" w:type="pct"/>
            <w:tcBorders>
              <w:top w:val="single" w:sz="4" w:space="0" w:color="auto"/>
              <w:bottom w:val="single" w:sz="4" w:space="0" w:color="auto"/>
            </w:tcBorders>
            <w:vAlign w:val="center"/>
            <w:hideMark/>
          </w:tcPr>
          <w:p w14:paraId="092D9D8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Max Score</w:t>
            </w:r>
          </w:p>
        </w:tc>
        <w:tc>
          <w:tcPr>
            <w:tcW w:w="545" w:type="pct"/>
            <w:tcBorders>
              <w:top w:val="single" w:sz="4" w:space="0" w:color="auto"/>
              <w:bottom w:val="single" w:sz="4" w:space="0" w:color="auto"/>
            </w:tcBorders>
            <w:vAlign w:val="center"/>
            <w:hideMark/>
          </w:tcPr>
          <w:p w14:paraId="3600A15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Mean</w:t>
            </w:r>
          </w:p>
        </w:tc>
        <w:tc>
          <w:tcPr>
            <w:tcW w:w="586" w:type="pct"/>
            <w:tcBorders>
              <w:top w:val="single" w:sz="4" w:space="0" w:color="auto"/>
              <w:bottom w:val="single" w:sz="4" w:space="0" w:color="auto"/>
            </w:tcBorders>
            <w:vAlign w:val="center"/>
            <w:hideMark/>
          </w:tcPr>
          <w:p w14:paraId="513ACFB6"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Median</w:t>
            </w:r>
          </w:p>
        </w:tc>
        <w:tc>
          <w:tcPr>
            <w:tcW w:w="877" w:type="pct"/>
            <w:tcBorders>
              <w:top w:val="single" w:sz="4" w:space="0" w:color="auto"/>
              <w:bottom w:val="single" w:sz="4" w:space="0" w:color="auto"/>
            </w:tcBorders>
            <w:vAlign w:val="center"/>
            <w:hideMark/>
          </w:tcPr>
          <w:p w14:paraId="583F6709"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Deviation</w:t>
            </w:r>
          </w:p>
        </w:tc>
      </w:tr>
      <w:tr w:rsidR="00DC6E2B" w:rsidRPr="00D47213" w14:paraId="2BF5A78D" w14:textId="77777777" w:rsidTr="00D47213">
        <w:trPr>
          <w:trHeight w:val="506"/>
          <w:jc w:val="center"/>
        </w:trPr>
        <w:tc>
          <w:tcPr>
            <w:tcW w:w="617" w:type="pct"/>
            <w:tcBorders>
              <w:top w:val="single" w:sz="4" w:space="0" w:color="auto"/>
              <w:bottom w:val="single" w:sz="4" w:space="0" w:color="auto"/>
            </w:tcBorders>
            <w:vAlign w:val="center"/>
            <w:hideMark/>
          </w:tcPr>
          <w:p w14:paraId="7F4D6AEE"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Mark</w:t>
            </w:r>
          </w:p>
        </w:tc>
        <w:tc>
          <w:tcPr>
            <w:tcW w:w="838" w:type="pct"/>
            <w:tcBorders>
              <w:top w:val="single" w:sz="4" w:space="0" w:color="auto"/>
              <w:bottom w:val="single" w:sz="4" w:space="0" w:color="auto"/>
            </w:tcBorders>
            <w:vAlign w:val="center"/>
            <w:hideMark/>
          </w:tcPr>
          <w:p w14:paraId="580C38B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201</w:t>
            </w:r>
          </w:p>
        </w:tc>
        <w:tc>
          <w:tcPr>
            <w:tcW w:w="708" w:type="pct"/>
            <w:tcBorders>
              <w:top w:val="single" w:sz="4" w:space="0" w:color="auto"/>
              <w:bottom w:val="single" w:sz="4" w:space="0" w:color="auto"/>
            </w:tcBorders>
            <w:vAlign w:val="center"/>
            <w:hideMark/>
          </w:tcPr>
          <w:p w14:paraId="67E9129B"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92</w:t>
            </w:r>
          </w:p>
        </w:tc>
        <w:tc>
          <w:tcPr>
            <w:tcW w:w="829" w:type="pct"/>
            <w:tcBorders>
              <w:top w:val="single" w:sz="4" w:space="0" w:color="auto"/>
              <w:bottom w:val="single" w:sz="4" w:space="0" w:color="auto"/>
            </w:tcBorders>
            <w:vAlign w:val="center"/>
            <w:hideMark/>
          </w:tcPr>
          <w:p w14:paraId="737BB8B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127</w:t>
            </w:r>
          </w:p>
        </w:tc>
        <w:tc>
          <w:tcPr>
            <w:tcW w:w="545" w:type="pct"/>
            <w:tcBorders>
              <w:top w:val="single" w:sz="4" w:space="0" w:color="auto"/>
              <w:bottom w:val="single" w:sz="4" w:space="0" w:color="auto"/>
            </w:tcBorders>
            <w:vAlign w:val="center"/>
            <w:hideMark/>
          </w:tcPr>
          <w:p w14:paraId="6C6B5B90"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110.92</w:t>
            </w:r>
          </w:p>
        </w:tc>
        <w:tc>
          <w:tcPr>
            <w:tcW w:w="586" w:type="pct"/>
            <w:tcBorders>
              <w:top w:val="single" w:sz="4" w:space="0" w:color="auto"/>
              <w:bottom w:val="single" w:sz="4" w:space="0" w:color="auto"/>
            </w:tcBorders>
            <w:vAlign w:val="center"/>
            <w:hideMark/>
          </w:tcPr>
          <w:p w14:paraId="6DA49DF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111.00</w:t>
            </w:r>
          </w:p>
        </w:tc>
        <w:tc>
          <w:tcPr>
            <w:tcW w:w="877" w:type="pct"/>
            <w:tcBorders>
              <w:top w:val="single" w:sz="4" w:space="0" w:color="auto"/>
              <w:bottom w:val="single" w:sz="4" w:space="0" w:color="auto"/>
            </w:tcBorders>
            <w:vAlign w:val="center"/>
            <w:hideMark/>
          </w:tcPr>
          <w:p w14:paraId="5F4D1A4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7.55</w:t>
            </w:r>
          </w:p>
        </w:tc>
      </w:tr>
    </w:tbl>
    <w:p w14:paraId="0A29A7F0" w14:textId="77777777" w:rsidR="00DC6E2B" w:rsidRPr="00D47213" w:rsidRDefault="00DC6E2B" w:rsidP="00DC6E2B">
      <w:pPr>
        <w:jc w:val="both"/>
        <w:rPr>
          <w:rFonts w:ascii="Baskerville Old Face" w:eastAsia="Cambria" w:hAnsi="Baskerville Old Face" w:cs="Cambria"/>
          <w:sz w:val="24"/>
          <w:szCs w:val="24"/>
          <w:lang w:val="en-ID"/>
        </w:rPr>
      </w:pPr>
    </w:p>
    <w:p w14:paraId="7B1C623F" w14:textId="6CDE100A" w:rsidR="00DC6E2B"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Based on Table 3, it is known that the average score for the Quality of Facilities and Infrastructure is 110.92 with a minimum score of 92 and a maximum score of 127. This average value indicates that the quality of facilities and infrastructure at Public Elementary Schools in Muara Telang District is in </w:t>
      </w:r>
      <w:r w:rsidRPr="00D47213">
        <w:rPr>
          <w:rFonts w:ascii="Baskerville Old Face" w:eastAsia="Cambria" w:hAnsi="Baskerville Old Face" w:cs="Cambria"/>
          <w:sz w:val="24"/>
          <w:szCs w:val="24"/>
          <w:lang w:val="en-ID"/>
        </w:rPr>
        <w:lastRenderedPageBreak/>
        <w:t>the good category. The available school facilities are considered adequate to support the implementation of learning, although there are still several aspects that require improvement to support a more optimal learning process.</w:t>
      </w:r>
    </w:p>
    <w:p w14:paraId="045DCF23" w14:textId="77777777"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Description of Learning Quality Variable (Y)</w:t>
      </w:r>
    </w:p>
    <w:p w14:paraId="70350012" w14:textId="77777777" w:rsidR="00D47213" w:rsidRPr="00D47213" w:rsidRDefault="00D47213" w:rsidP="00DC6E2B">
      <w:pPr>
        <w:jc w:val="center"/>
        <w:rPr>
          <w:rFonts w:ascii="Baskerville Old Face" w:eastAsia="Cambria" w:hAnsi="Baskerville Old Face" w:cs="Cambria"/>
          <w:sz w:val="12"/>
          <w:szCs w:val="12"/>
          <w:lang w:val="en-ID"/>
        </w:rPr>
      </w:pPr>
    </w:p>
    <w:p w14:paraId="3947CE43" w14:textId="20A8363A" w:rsidR="00DC6E2B" w:rsidRPr="00D47213" w:rsidRDefault="00DC6E2B" w:rsidP="00DC6E2B">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b/>
          <w:bCs/>
          <w:sz w:val="24"/>
          <w:szCs w:val="24"/>
          <w:lang w:val="en-ID"/>
        </w:rPr>
        <w:t>Table 4.</w:t>
      </w:r>
      <w:r w:rsidRPr="00D47213">
        <w:rPr>
          <w:rFonts w:ascii="Baskerville Old Face" w:eastAsia="Cambria" w:hAnsi="Baskerville Old Face" w:cs="Cambria"/>
          <w:sz w:val="24"/>
          <w:szCs w:val="24"/>
          <w:lang w:val="en-ID"/>
        </w:rPr>
        <w:t xml:space="preserve"> Statistics Descriptive Learning Quality Variable (Y)</w:t>
      </w:r>
    </w:p>
    <w:tbl>
      <w:tblPr>
        <w:tblW w:w="5000" w:type="pct"/>
        <w:jc w:val="center"/>
        <w:tblLook w:val="04A0" w:firstRow="1" w:lastRow="0" w:firstColumn="1" w:lastColumn="0" w:noHBand="0" w:noVBand="1"/>
      </w:tblPr>
      <w:tblGrid>
        <w:gridCol w:w="1189"/>
        <w:gridCol w:w="1615"/>
        <w:gridCol w:w="1365"/>
        <w:gridCol w:w="1598"/>
        <w:gridCol w:w="1051"/>
        <w:gridCol w:w="1130"/>
        <w:gridCol w:w="1691"/>
      </w:tblGrid>
      <w:tr w:rsidR="00DC6E2B" w:rsidRPr="00D47213" w14:paraId="532360DD" w14:textId="77777777" w:rsidTr="00D47213">
        <w:trPr>
          <w:trHeight w:val="573"/>
          <w:jc w:val="center"/>
        </w:trPr>
        <w:tc>
          <w:tcPr>
            <w:tcW w:w="617" w:type="pct"/>
            <w:tcBorders>
              <w:top w:val="single" w:sz="4" w:space="0" w:color="auto"/>
              <w:bottom w:val="single" w:sz="4" w:space="0" w:color="auto"/>
            </w:tcBorders>
            <w:vAlign w:val="center"/>
            <w:hideMark/>
          </w:tcPr>
          <w:p w14:paraId="12C0A41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Statistics</w:t>
            </w:r>
          </w:p>
        </w:tc>
        <w:tc>
          <w:tcPr>
            <w:tcW w:w="838" w:type="pct"/>
            <w:tcBorders>
              <w:top w:val="single" w:sz="4" w:space="0" w:color="auto"/>
              <w:bottom w:val="single" w:sz="4" w:space="0" w:color="auto"/>
            </w:tcBorders>
            <w:vAlign w:val="center"/>
            <w:hideMark/>
          </w:tcPr>
          <w:p w14:paraId="03634E8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Respondents</w:t>
            </w:r>
          </w:p>
        </w:tc>
        <w:tc>
          <w:tcPr>
            <w:tcW w:w="708" w:type="pct"/>
            <w:tcBorders>
              <w:top w:val="single" w:sz="4" w:space="0" w:color="auto"/>
              <w:bottom w:val="single" w:sz="4" w:space="0" w:color="auto"/>
            </w:tcBorders>
            <w:vAlign w:val="center"/>
            <w:hideMark/>
          </w:tcPr>
          <w:p w14:paraId="13C8AB40"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Min Score</w:t>
            </w:r>
          </w:p>
        </w:tc>
        <w:tc>
          <w:tcPr>
            <w:tcW w:w="829" w:type="pct"/>
            <w:tcBorders>
              <w:top w:val="single" w:sz="4" w:space="0" w:color="auto"/>
              <w:bottom w:val="single" w:sz="4" w:space="0" w:color="auto"/>
            </w:tcBorders>
            <w:vAlign w:val="center"/>
            <w:hideMark/>
          </w:tcPr>
          <w:p w14:paraId="145E62A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Max Score</w:t>
            </w:r>
          </w:p>
        </w:tc>
        <w:tc>
          <w:tcPr>
            <w:tcW w:w="545" w:type="pct"/>
            <w:tcBorders>
              <w:top w:val="single" w:sz="4" w:space="0" w:color="auto"/>
              <w:bottom w:val="single" w:sz="4" w:space="0" w:color="auto"/>
            </w:tcBorders>
            <w:vAlign w:val="center"/>
            <w:hideMark/>
          </w:tcPr>
          <w:p w14:paraId="03FCA267"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Mean</w:t>
            </w:r>
          </w:p>
        </w:tc>
        <w:tc>
          <w:tcPr>
            <w:tcW w:w="586" w:type="pct"/>
            <w:tcBorders>
              <w:top w:val="single" w:sz="4" w:space="0" w:color="auto"/>
              <w:bottom w:val="single" w:sz="4" w:space="0" w:color="auto"/>
            </w:tcBorders>
            <w:vAlign w:val="center"/>
            <w:hideMark/>
          </w:tcPr>
          <w:p w14:paraId="0DEF003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Median</w:t>
            </w:r>
          </w:p>
        </w:tc>
        <w:tc>
          <w:tcPr>
            <w:tcW w:w="877" w:type="pct"/>
            <w:tcBorders>
              <w:top w:val="single" w:sz="4" w:space="0" w:color="auto"/>
              <w:bottom w:val="single" w:sz="4" w:space="0" w:color="auto"/>
            </w:tcBorders>
            <w:vAlign w:val="center"/>
            <w:hideMark/>
          </w:tcPr>
          <w:p w14:paraId="24E7292D"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Deviation</w:t>
            </w:r>
          </w:p>
        </w:tc>
      </w:tr>
      <w:tr w:rsidR="00DC6E2B" w:rsidRPr="00D47213" w14:paraId="0581B009" w14:textId="77777777" w:rsidTr="00D47213">
        <w:trPr>
          <w:trHeight w:val="506"/>
          <w:jc w:val="center"/>
        </w:trPr>
        <w:tc>
          <w:tcPr>
            <w:tcW w:w="617" w:type="pct"/>
            <w:tcBorders>
              <w:top w:val="single" w:sz="4" w:space="0" w:color="auto"/>
              <w:bottom w:val="single" w:sz="4" w:space="0" w:color="auto"/>
            </w:tcBorders>
            <w:vAlign w:val="center"/>
            <w:hideMark/>
          </w:tcPr>
          <w:p w14:paraId="0F47DCF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Mark</w:t>
            </w:r>
          </w:p>
        </w:tc>
        <w:tc>
          <w:tcPr>
            <w:tcW w:w="838" w:type="pct"/>
            <w:tcBorders>
              <w:top w:val="single" w:sz="4" w:space="0" w:color="auto"/>
              <w:bottom w:val="single" w:sz="4" w:space="0" w:color="auto"/>
            </w:tcBorders>
            <w:vAlign w:val="center"/>
            <w:hideMark/>
          </w:tcPr>
          <w:p w14:paraId="52F5ECE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201</w:t>
            </w:r>
          </w:p>
        </w:tc>
        <w:tc>
          <w:tcPr>
            <w:tcW w:w="708" w:type="pct"/>
            <w:tcBorders>
              <w:top w:val="single" w:sz="4" w:space="0" w:color="auto"/>
              <w:bottom w:val="single" w:sz="4" w:space="0" w:color="auto"/>
            </w:tcBorders>
            <w:vAlign w:val="center"/>
            <w:hideMark/>
          </w:tcPr>
          <w:p w14:paraId="3F8DC0E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105</w:t>
            </w:r>
          </w:p>
        </w:tc>
        <w:tc>
          <w:tcPr>
            <w:tcW w:w="829" w:type="pct"/>
            <w:tcBorders>
              <w:top w:val="single" w:sz="4" w:space="0" w:color="auto"/>
              <w:bottom w:val="single" w:sz="4" w:space="0" w:color="auto"/>
            </w:tcBorders>
            <w:vAlign w:val="center"/>
            <w:hideMark/>
          </w:tcPr>
          <w:p w14:paraId="3C2DD168"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137</w:t>
            </w:r>
          </w:p>
        </w:tc>
        <w:tc>
          <w:tcPr>
            <w:tcW w:w="545" w:type="pct"/>
            <w:tcBorders>
              <w:top w:val="single" w:sz="4" w:space="0" w:color="auto"/>
              <w:bottom w:val="single" w:sz="4" w:space="0" w:color="auto"/>
            </w:tcBorders>
            <w:vAlign w:val="center"/>
            <w:hideMark/>
          </w:tcPr>
          <w:p w14:paraId="44C74FC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119.81</w:t>
            </w:r>
          </w:p>
        </w:tc>
        <w:tc>
          <w:tcPr>
            <w:tcW w:w="586" w:type="pct"/>
            <w:tcBorders>
              <w:top w:val="single" w:sz="4" w:space="0" w:color="auto"/>
              <w:bottom w:val="single" w:sz="4" w:space="0" w:color="auto"/>
            </w:tcBorders>
            <w:vAlign w:val="center"/>
            <w:hideMark/>
          </w:tcPr>
          <w:p w14:paraId="2D4D878D"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120.00</w:t>
            </w:r>
          </w:p>
        </w:tc>
        <w:tc>
          <w:tcPr>
            <w:tcW w:w="877" w:type="pct"/>
            <w:tcBorders>
              <w:top w:val="single" w:sz="4" w:space="0" w:color="auto"/>
              <w:bottom w:val="single" w:sz="4" w:space="0" w:color="auto"/>
            </w:tcBorders>
            <w:vAlign w:val="center"/>
            <w:hideMark/>
          </w:tcPr>
          <w:p w14:paraId="1255ED6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6.01</w:t>
            </w:r>
          </w:p>
        </w:tc>
      </w:tr>
    </w:tbl>
    <w:p w14:paraId="5B4B0968" w14:textId="77777777" w:rsidR="00DC6E2B" w:rsidRPr="00D47213" w:rsidRDefault="00DC6E2B" w:rsidP="00DC6E2B">
      <w:pPr>
        <w:jc w:val="both"/>
        <w:rPr>
          <w:rFonts w:ascii="Baskerville Old Face" w:eastAsia="Cambria" w:hAnsi="Baskerville Old Face" w:cs="Cambria"/>
          <w:sz w:val="24"/>
          <w:szCs w:val="24"/>
          <w:lang w:val="en-ID"/>
        </w:rPr>
      </w:pPr>
    </w:p>
    <w:p w14:paraId="68B4C733" w14:textId="04A6E29D" w:rsidR="00DC6E2B"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Based on Table 4. known that the average score of Learning Quality amounting to 119.81 with minimum score of 105 and score maximum 137. High average value show that quality learning at Public Elementary Schools in Muara Telang District is in the category good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is indicates that the learning process is implemented has capable fulfil objective learning as well as give positive results</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for participant educate.</w:t>
      </w:r>
    </w:p>
    <w:p w14:paraId="7A4AE95C" w14:textId="77777777"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Recapitulation of Research Variable Description</w:t>
      </w:r>
    </w:p>
    <w:p w14:paraId="1BE9ABFC" w14:textId="77777777" w:rsidR="00D47213" w:rsidRPr="00D47213" w:rsidRDefault="00D47213" w:rsidP="00DC6E2B">
      <w:pPr>
        <w:jc w:val="center"/>
        <w:rPr>
          <w:rFonts w:ascii="Baskerville Old Face" w:eastAsia="Cambria" w:hAnsi="Baskerville Old Face" w:cs="Cambria"/>
          <w:sz w:val="12"/>
          <w:szCs w:val="12"/>
          <w:lang w:val="en-ID"/>
        </w:rPr>
      </w:pPr>
    </w:p>
    <w:p w14:paraId="26E7559A" w14:textId="7AF81FD2" w:rsidR="00DC6E2B" w:rsidRPr="00D47213" w:rsidRDefault="00DC6E2B" w:rsidP="00DC6E2B">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b/>
          <w:bCs/>
          <w:sz w:val="24"/>
          <w:szCs w:val="24"/>
          <w:lang w:val="en-ID"/>
        </w:rPr>
        <w:t xml:space="preserve">Table 5. </w:t>
      </w:r>
      <w:r w:rsidRPr="00D47213">
        <w:rPr>
          <w:rFonts w:ascii="Baskerville Old Face" w:eastAsia="Cambria" w:hAnsi="Baskerville Old Face" w:cs="Cambria"/>
          <w:sz w:val="24"/>
          <w:szCs w:val="24"/>
          <w:lang w:val="en-ID"/>
        </w:rPr>
        <w:t>Recapitulation Statistics Descriptive Variables Study</w:t>
      </w:r>
    </w:p>
    <w:tbl>
      <w:tblPr>
        <w:tblW w:w="5145" w:type="pct"/>
        <w:jc w:val="center"/>
        <w:tblLook w:val="04A0" w:firstRow="1" w:lastRow="0" w:firstColumn="1" w:lastColumn="0" w:noHBand="0" w:noVBand="1"/>
      </w:tblPr>
      <w:tblGrid>
        <w:gridCol w:w="3117"/>
        <w:gridCol w:w="1520"/>
        <w:gridCol w:w="1440"/>
        <w:gridCol w:w="1920"/>
        <w:gridCol w:w="1922"/>
      </w:tblGrid>
      <w:tr w:rsidR="00DC6E2B" w:rsidRPr="00D47213" w14:paraId="2EC26531" w14:textId="77777777" w:rsidTr="00D47213">
        <w:trPr>
          <w:trHeight w:val="606"/>
          <w:jc w:val="center"/>
        </w:trPr>
        <w:tc>
          <w:tcPr>
            <w:tcW w:w="1571" w:type="pct"/>
            <w:tcBorders>
              <w:top w:val="single" w:sz="4" w:space="0" w:color="auto"/>
              <w:bottom w:val="single" w:sz="4" w:space="0" w:color="auto"/>
            </w:tcBorders>
            <w:vAlign w:val="center"/>
            <w:hideMark/>
          </w:tcPr>
          <w:p w14:paraId="13CBAD1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Variables</w:t>
            </w:r>
          </w:p>
        </w:tc>
        <w:tc>
          <w:tcPr>
            <w:tcW w:w="766" w:type="pct"/>
            <w:tcBorders>
              <w:top w:val="single" w:sz="4" w:space="0" w:color="auto"/>
              <w:bottom w:val="single" w:sz="4" w:space="0" w:color="auto"/>
            </w:tcBorders>
            <w:vAlign w:val="center"/>
            <w:hideMark/>
          </w:tcPr>
          <w:p w14:paraId="07BB40E4"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Mean</w:t>
            </w:r>
          </w:p>
        </w:tc>
        <w:tc>
          <w:tcPr>
            <w:tcW w:w="726" w:type="pct"/>
            <w:tcBorders>
              <w:top w:val="single" w:sz="4" w:space="0" w:color="auto"/>
              <w:bottom w:val="single" w:sz="4" w:space="0" w:color="auto"/>
            </w:tcBorders>
            <w:vAlign w:val="center"/>
            <w:hideMark/>
          </w:tcPr>
          <w:p w14:paraId="35B52AE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Deviation</w:t>
            </w:r>
          </w:p>
        </w:tc>
        <w:tc>
          <w:tcPr>
            <w:tcW w:w="968" w:type="pct"/>
            <w:tcBorders>
              <w:top w:val="single" w:sz="4" w:space="0" w:color="auto"/>
              <w:bottom w:val="single" w:sz="4" w:space="0" w:color="auto"/>
            </w:tcBorders>
            <w:vAlign w:val="center"/>
            <w:hideMark/>
          </w:tcPr>
          <w:p w14:paraId="023B5249"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Minimum</w:t>
            </w:r>
          </w:p>
        </w:tc>
        <w:tc>
          <w:tcPr>
            <w:tcW w:w="969" w:type="pct"/>
            <w:tcBorders>
              <w:top w:val="single" w:sz="4" w:space="0" w:color="auto"/>
              <w:bottom w:val="single" w:sz="4" w:space="0" w:color="auto"/>
            </w:tcBorders>
            <w:vAlign w:val="center"/>
            <w:hideMark/>
          </w:tcPr>
          <w:p w14:paraId="38D06BC0"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Maximum</w:t>
            </w:r>
          </w:p>
        </w:tc>
      </w:tr>
      <w:tr w:rsidR="00DC6E2B" w:rsidRPr="00D47213" w14:paraId="35932D1D" w14:textId="77777777" w:rsidTr="00D47213">
        <w:trPr>
          <w:trHeight w:val="391"/>
          <w:jc w:val="center"/>
        </w:trPr>
        <w:tc>
          <w:tcPr>
            <w:tcW w:w="1571" w:type="pct"/>
            <w:tcBorders>
              <w:top w:val="single" w:sz="4" w:space="0" w:color="auto"/>
            </w:tcBorders>
            <w:vAlign w:val="center"/>
            <w:hideMark/>
          </w:tcPr>
          <w:p w14:paraId="72B0DB5E" w14:textId="20FDD554"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Use of ICT (X </w:t>
            </w:r>
            <w:r w:rsidRPr="00D47213">
              <w:rPr>
                <w:rFonts w:ascii="Cambria Math" w:eastAsia="Cambria" w:hAnsi="Cambria Math" w:cs="Cambria Math"/>
                <w:sz w:val="24"/>
                <w:szCs w:val="24"/>
                <w:lang w:val="en-ID"/>
              </w:rPr>
              <w:t>₁</w:t>
            </w:r>
            <w:r w:rsidR="00D10F08">
              <w:rPr>
                <w:rFonts w:ascii="Baskerville Old Face" w:eastAsia="Cambria" w:hAnsi="Baskerville Old Face"/>
                <w:sz w:val="24"/>
                <w:szCs w:val="24"/>
                <w:lang w:val="en-ID"/>
              </w:rPr>
              <w:t>)</w:t>
            </w:r>
          </w:p>
        </w:tc>
        <w:tc>
          <w:tcPr>
            <w:tcW w:w="766" w:type="pct"/>
            <w:tcBorders>
              <w:top w:val="single" w:sz="4" w:space="0" w:color="auto"/>
            </w:tcBorders>
            <w:vAlign w:val="center"/>
            <w:hideMark/>
          </w:tcPr>
          <w:p w14:paraId="05DCABCC"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114.58</w:t>
            </w:r>
          </w:p>
        </w:tc>
        <w:tc>
          <w:tcPr>
            <w:tcW w:w="726" w:type="pct"/>
            <w:tcBorders>
              <w:top w:val="single" w:sz="4" w:space="0" w:color="auto"/>
            </w:tcBorders>
            <w:vAlign w:val="center"/>
            <w:hideMark/>
          </w:tcPr>
          <w:p w14:paraId="7DB77451"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8.48</w:t>
            </w:r>
          </w:p>
        </w:tc>
        <w:tc>
          <w:tcPr>
            <w:tcW w:w="968" w:type="pct"/>
            <w:tcBorders>
              <w:top w:val="single" w:sz="4" w:space="0" w:color="auto"/>
            </w:tcBorders>
            <w:vAlign w:val="center"/>
            <w:hideMark/>
          </w:tcPr>
          <w:p w14:paraId="01F6450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92</w:t>
            </w:r>
          </w:p>
        </w:tc>
        <w:tc>
          <w:tcPr>
            <w:tcW w:w="969" w:type="pct"/>
            <w:tcBorders>
              <w:top w:val="single" w:sz="4" w:space="0" w:color="auto"/>
            </w:tcBorders>
            <w:vAlign w:val="center"/>
            <w:hideMark/>
          </w:tcPr>
          <w:p w14:paraId="5FC221AF"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138</w:t>
            </w:r>
          </w:p>
        </w:tc>
      </w:tr>
      <w:tr w:rsidR="00DC6E2B" w:rsidRPr="00D47213" w14:paraId="5A4859E7" w14:textId="77777777" w:rsidTr="00D47213">
        <w:trPr>
          <w:trHeight w:val="269"/>
          <w:jc w:val="center"/>
        </w:trPr>
        <w:tc>
          <w:tcPr>
            <w:tcW w:w="1571" w:type="pct"/>
            <w:vAlign w:val="center"/>
            <w:hideMark/>
          </w:tcPr>
          <w:p w14:paraId="6A3689A6" w14:textId="0C30DCA4"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Quality of Infrastructure (X </w:t>
            </w:r>
            <w:r w:rsidRPr="00D47213">
              <w:rPr>
                <w:rFonts w:ascii="Cambria Math" w:eastAsia="Cambria" w:hAnsi="Cambria Math" w:cs="Cambria Math"/>
                <w:sz w:val="24"/>
                <w:szCs w:val="24"/>
                <w:lang w:val="en-ID"/>
              </w:rPr>
              <w:t>₂</w:t>
            </w:r>
            <w:r w:rsidRPr="00D47213">
              <w:rPr>
                <w:rFonts w:ascii="Baskerville Old Face" w:eastAsia="Cambria" w:hAnsi="Baskerville Old Face" w:cs="Cambria"/>
                <w:sz w:val="24"/>
                <w:szCs w:val="24"/>
                <w:lang w:val="en-ID"/>
              </w:rPr>
              <w:t>)</w:t>
            </w:r>
          </w:p>
        </w:tc>
        <w:tc>
          <w:tcPr>
            <w:tcW w:w="766" w:type="pct"/>
            <w:vAlign w:val="center"/>
            <w:hideMark/>
          </w:tcPr>
          <w:p w14:paraId="494B968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110.92</w:t>
            </w:r>
          </w:p>
        </w:tc>
        <w:tc>
          <w:tcPr>
            <w:tcW w:w="726" w:type="pct"/>
            <w:vAlign w:val="center"/>
            <w:hideMark/>
          </w:tcPr>
          <w:p w14:paraId="73DA57C3"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7.55</w:t>
            </w:r>
          </w:p>
        </w:tc>
        <w:tc>
          <w:tcPr>
            <w:tcW w:w="968" w:type="pct"/>
            <w:vAlign w:val="center"/>
            <w:hideMark/>
          </w:tcPr>
          <w:p w14:paraId="1A65BFD0"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92</w:t>
            </w:r>
          </w:p>
        </w:tc>
        <w:tc>
          <w:tcPr>
            <w:tcW w:w="969" w:type="pct"/>
            <w:vAlign w:val="center"/>
            <w:hideMark/>
          </w:tcPr>
          <w:p w14:paraId="4C7C5EA9"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127</w:t>
            </w:r>
          </w:p>
        </w:tc>
      </w:tr>
      <w:tr w:rsidR="00DC6E2B" w:rsidRPr="00D47213" w14:paraId="18E6B6DB" w14:textId="77777777" w:rsidTr="00D47213">
        <w:trPr>
          <w:trHeight w:val="421"/>
          <w:jc w:val="center"/>
        </w:trPr>
        <w:tc>
          <w:tcPr>
            <w:tcW w:w="1571" w:type="pct"/>
            <w:tcBorders>
              <w:bottom w:val="single" w:sz="4" w:space="0" w:color="auto"/>
            </w:tcBorders>
            <w:vAlign w:val="center"/>
            <w:hideMark/>
          </w:tcPr>
          <w:p w14:paraId="24ADCAF6"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Learning Quality (Y)</w:t>
            </w:r>
          </w:p>
        </w:tc>
        <w:tc>
          <w:tcPr>
            <w:tcW w:w="766" w:type="pct"/>
            <w:tcBorders>
              <w:bottom w:val="single" w:sz="4" w:space="0" w:color="auto"/>
            </w:tcBorders>
            <w:vAlign w:val="center"/>
            <w:hideMark/>
          </w:tcPr>
          <w:p w14:paraId="3A500341"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119.81</w:t>
            </w:r>
          </w:p>
        </w:tc>
        <w:tc>
          <w:tcPr>
            <w:tcW w:w="726" w:type="pct"/>
            <w:tcBorders>
              <w:bottom w:val="single" w:sz="4" w:space="0" w:color="auto"/>
            </w:tcBorders>
            <w:vAlign w:val="center"/>
            <w:hideMark/>
          </w:tcPr>
          <w:p w14:paraId="2A999DD2"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6.01</w:t>
            </w:r>
          </w:p>
        </w:tc>
        <w:tc>
          <w:tcPr>
            <w:tcW w:w="968" w:type="pct"/>
            <w:tcBorders>
              <w:bottom w:val="single" w:sz="4" w:space="0" w:color="auto"/>
            </w:tcBorders>
            <w:vAlign w:val="center"/>
            <w:hideMark/>
          </w:tcPr>
          <w:p w14:paraId="62484685"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105</w:t>
            </w:r>
          </w:p>
        </w:tc>
        <w:tc>
          <w:tcPr>
            <w:tcW w:w="969" w:type="pct"/>
            <w:tcBorders>
              <w:bottom w:val="single" w:sz="4" w:space="0" w:color="auto"/>
            </w:tcBorders>
            <w:vAlign w:val="center"/>
            <w:hideMark/>
          </w:tcPr>
          <w:p w14:paraId="09C6563A" w14:textId="77777777" w:rsidR="00DC6E2B" w:rsidRPr="00D47213" w:rsidRDefault="00DC6E2B" w:rsidP="00D47213">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137</w:t>
            </w:r>
          </w:p>
        </w:tc>
      </w:tr>
    </w:tbl>
    <w:p w14:paraId="6601A37B" w14:textId="77777777" w:rsidR="00DC6E2B" w:rsidRPr="00D47213" w:rsidRDefault="00DC6E2B" w:rsidP="00DC6E2B">
      <w:pPr>
        <w:jc w:val="both"/>
        <w:rPr>
          <w:rFonts w:ascii="Baskerville Old Face" w:eastAsia="Cambria" w:hAnsi="Baskerville Old Face" w:cs="Cambria"/>
          <w:sz w:val="24"/>
          <w:szCs w:val="24"/>
          <w:lang w:val="en-ID"/>
        </w:rPr>
      </w:pPr>
    </w:p>
    <w:p w14:paraId="67E9A12A" w14:textId="78B9271A" w:rsidR="00DC6E2B" w:rsidRDefault="00DC6E2B" w:rsidP="00D47213">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Based on Table 5. can known that all over variables study own relative average value tall with sufficient data distribution homogeneous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is show that respondents give biased assessment</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positive to use of ICT, quality means infrastructure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as well as quality learning at Public Elementary Schools in Muara Telang District</w:t>
      </w:r>
      <w:r w:rsidR="00D10F08">
        <w:rPr>
          <w:rFonts w:ascii="Baskerville Old Face" w:eastAsia="Cambria" w:hAnsi="Baskerville Old Face" w:cs="Cambria"/>
          <w:sz w:val="24"/>
          <w:szCs w:val="24"/>
          <w:lang w:val="en-ID"/>
        </w:rPr>
        <w:t>.</w:t>
      </w:r>
    </w:p>
    <w:p w14:paraId="08D8AF4A" w14:textId="77777777" w:rsidR="00DC6E2B" w:rsidRPr="00D47213" w:rsidRDefault="00DC6E2B" w:rsidP="00D47213">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Testing Condition Data analysis</w:t>
      </w:r>
    </w:p>
    <w:p w14:paraId="7BC953FD" w14:textId="3D0AC6DA" w:rsidR="00DC6E2B" w:rsidRPr="00D47213" w:rsidRDefault="00DC6E2B" w:rsidP="00D47213">
      <w:pPr>
        <w:ind w:firstLine="567"/>
        <w:jc w:val="both"/>
        <w:rPr>
          <w:rFonts w:ascii="Baskerville Old Face" w:eastAsia="Cambria" w:hAnsi="Baskerville Old Face" w:cs="Cambria"/>
          <w:b/>
          <w:bCs/>
          <w:sz w:val="24"/>
          <w:szCs w:val="24"/>
          <w:lang w:val="en-ID"/>
        </w:rPr>
      </w:pPr>
      <w:r w:rsidRPr="00D47213">
        <w:rPr>
          <w:rFonts w:ascii="Baskerville Old Face" w:eastAsia="Cambria" w:hAnsi="Baskerville Old Face" w:cs="Cambria"/>
          <w:sz w:val="24"/>
          <w:szCs w:val="24"/>
          <w:lang w:val="en-ID"/>
        </w:rPr>
        <w:t>As has explained in the previous chapter III</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that in testing prerequisite data analysis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necessary normality test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multicollinearity test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and multiple linear regression test were carried out</w:t>
      </w:r>
      <w:r w:rsidR="00D10F08">
        <w:rPr>
          <w:rFonts w:ascii="Baskerville Old Face" w:eastAsia="Cambria" w:hAnsi="Baskerville Old Face" w:cs="Cambria"/>
          <w:sz w:val="24"/>
          <w:szCs w:val="24"/>
          <w:lang w:val="en-ID"/>
        </w:rPr>
        <w:t>.</w:t>
      </w:r>
    </w:p>
    <w:p w14:paraId="37A3E4D7" w14:textId="7E00C480" w:rsidR="00DC6E2B" w:rsidRPr="00D47213" w:rsidRDefault="00DC6E2B" w:rsidP="00D47213">
      <w:pPr>
        <w:numPr>
          <w:ilvl w:val="0"/>
          <w:numId w:val="12"/>
        </w:numPr>
        <w:ind w:left="378"/>
        <w:jc w:val="both"/>
        <w:rPr>
          <w:rFonts w:ascii="Baskerville Old Face" w:eastAsia="Cambria" w:hAnsi="Baskerville Old Face" w:cs="Cambria"/>
          <w:b/>
          <w:bCs/>
          <w:sz w:val="28"/>
          <w:szCs w:val="28"/>
          <w:lang w:val="en-ID"/>
        </w:rPr>
      </w:pPr>
      <w:r w:rsidRPr="00D47213">
        <w:rPr>
          <w:rFonts w:ascii="Baskerville Old Face" w:eastAsia="Cambria" w:hAnsi="Baskerville Old Face" w:cs="Cambria"/>
          <w:b/>
          <w:bCs/>
          <w:sz w:val="28"/>
          <w:szCs w:val="28"/>
          <w:lang w:val="en-ID"/>
        </w:rPr>
        <w:t>Normality Test</w:t>
      </w:r>
    </w:p>
    <w:p w14:paraId="380A8E83" w14:textId="77777777" w:rsidR="00D10F08" w:rsidRPr="00D10F08" w:rsidRDefault="00D10F08" w:rsidP="00DC6E2B">
      <w:pPr>
        <w:jc w:val="center"/>
        <w:rPr>
          <w:rFonts w:ascii="Baskerville Old Face" w:eastAsia="Cambria" w:hAnsi="Baskerville Old Face" w:cs="Cambria"/>
          <w:sz w:val="12"/>
          <w:szCs w:val="12"/>
          <w:lang w:val="en-ID"/>
        </w:rPr>
      </w:pPr>
    </w:p>
    <w:p w14:paraId="258EE99E" w14:textId="588D1925" w:rsidR="00DC6E2B" w:rsidRPr="00D47213" w:rsidRDefault="00DC6E2B" w:rsidP="00DC6E2B">
      <w:pPr>
        <w:jc w:val="center"/>
        <w:rPr>
          <w:rFonts w:ascii="Baskerville Old Face" w:eastAsia="Cambria" w:hAnsi="Baskerville Old Face" w:cs="Cambria"/>
          <w:sz w:val="24"/>
          <w:szCs w:val="24"/>
          <w:lang w:val="en-ID"/>
        </w:rPr>
      </w:pPr>
      <w:r w:rsidRPr="00D10F08">
        <w:rPr>
          <w:rFonts w:ascii="Baskerville Old Face" w:eastAsia="Cambria" w:hAnsi="Baskerville Old Face" w:cs="Cambria"/>
          <w:b/>
          <w:bCs/>
          <w:sz w:val="24"/>
          <w:szCs w:val="24"/>
          <w:lang w:val="en-ID"/>
        </w:rPr>
        <w:t>Table 6.</w:t>
      </w:r>
      <w:r w:rsidRPr="00D47213">
        <w:rPr>
          <w:rFonts w:ascii="Baskerville Old Face" w:eastAsia="Cambria" w:hAnsi="Baskerville Old Face" w:cs="Cambria"/>
          <w:sz w:val="24"/>
          <w:szCs w:val="24"/>
          <w:lang w:val="en-ID"/>
        </w:rPr>
        <w:t xml:space="preserve"> Results of the normality test of the influence of ICT Use and the Quality of Facilities and Infrastructure on the Quality of Learning</w:t>
      </w:r>
    </w:p>
    <w:tbl>
      <w:tblPr>
        <w:tblW w:w="5000" w:type="pct"/>
        <w:jc w:val="center"/>
        <w:tblCellMar>
          <w:left w:w="0" w:type="dxa"/>
          <w:right w:w="0" w:type="dxa"/>
        </w:tblCellMar>
        <w:tblLook w:val="04A0" w:firstRow="1" w:lastRow="0" w:firstColumn="1" w:lastColumn="0" w:noHBand="0" w:noVBand="1"/>
      </w:tblPr>
      <w:tblGrid>
        <w:gridCol w:w="2303"/>
        <w:gridCol w:w="1222"/>
        <w:gridCol w:w="1222"/>
        <w:gridCol w:w="1226"/>
        <w:gridCol w:w="1220"/>
        <w:gridCol w:w="1220"/>
        <w:gridCol w:w="1226"/>
      </w:tblGrid>
      <w:tr w:rsidR="00DC6E2B" w:rsidRPr="00D47213" w14:paraId="55E784ED" w14:textId="77777777" w:rsidTr="005144C4">
        <w:trPr>
          <w:cantSplit/>
          <w:trHeight w:val="213"/>
          <w:jc w:val="center"/>
        </w:trPr>
        <w:tc>
          <w:tcPr>
            <w:tcW w:w="1194" w:type="pct"/>
            <w:vMerge w:val="restart"/>
            <w:tcBorders>
              <w:top w:val="single" w:sz="4" w:space="0" w:color="auto"/>
            </w:tcBorders>
            <w:vAlign w:val="center"/>
          </w:tcPr>
          <w:p w14:paraId="35AE236A" w14:textId="77777777" w:rsidR="00DC6E2B" w:rsidRPr="00D47213" w:rsidRDefault="00DC6E2B" w:rsidP="00D10F08">
            <w:pPr>
              <w:jc w:val="center"/>
              <w:rPr>
                <w:rFonts w:ascii="Baskerville Old Face" w:eastAsia="Cambria" w:hAnsi="Baskerville Old Face" w:cs="Cambria"/>
                <w:sz w:val="24"/>
                <w:szCs w:val="24"/>
                <w:lang w:val="en-ID"/>
              </w:rPr>
            </w:pPr>
          </w:p>
        </w:tc>
        <w:tc>
          <w:tcPr>
            <w:tcW w:w="1904" w:type="pct"/>
            <w:gridSpan w:val="3"/>
            <w:tcBorders>
              <w:top w:val="single" w:sz="4" w:space="0" w:color="auto"/>
            </w:tcBorders>
            <w:vAlign w:val="center"/>
            <w:hideMark/>
          </w:tcPr>
          <w:p w14:paraId="7491601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Kolmogorov-Smirnov </w:t>
            </w:r>
            <w:r w:rsidRPr="00D47213">
              <w:rPr>
                <w:rFonts w:ascii="Baskerville Old Face" w:eastAsia="Cambria" w:hAnsi="Baskerville Old Face" w:cs="Cambria"/>
                <w:sz w:val="24"/>
                <w:szCs w:val="24"/>
                <w:vertAlign w:val="superscript"/>
                <w:lang w:val="en-ID"/>
              </w:rPr>
              <w:t>a</w:t>
            </w:r>
          </w:p>
        </w:tc>
        <w:tc>
          <w:tcPr>
            <w:tcW w:w="1903" w:type="pct"/>
            <w:gridSpan w:val="3"/>
            <w:tcBorders>
              <w:top w:val="single" w:sz="4" w:space="0" w:color="auto"/>
            </w:tcBorders>
            <w:vAlign w:val="center"/>
            <w:hideMark/>
          </w:tcPr>
          <w:p w14:paraId="0820303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Shapiro-Wilk</w:t>
            </w:r>
          </w:p>
        </w:tc>
      </w:tr>
      <w:tr w:rsidR="00DC6E2B" w:rsidRPr="00D47213" w14:paraId="19BDF0C4" w14:textId="77777777" w:rsidTr="005144C4">
        <w:trPr>
          <w:cantSplit/>
          <w:trHeight w:val="105"/>
          <w:jc w:val="center"/>
        </w:trPr>
        <w:tc>
          <w:tcPr>
            <w:tcW w:w="1194" w:type="pct"/>
            <w:vMerge/>
            <w:tcBorders>
              <w:bottom w:val="single" w:sz="4" w:space="0" w:color="auto"/>
            </w:tcBorders>
            <w:vAlign w:val="center"/>
            <w:hideMark/>
          </w:tcPr>
          <w:p w14:paraId="2DE36019" w14:textId="77777777" w:rsidR="00DC6E2B" w:rsidRPr="00D47213" w:rsidRDefault="00DC6E2B" w:rsidP="00D10F08">
            <w:pPr>
              <w:jc w:val="center"/>
              <w:rPr>
                <w:rFonts w:ascii="Baskerville Old Face" w:eastAsia="Cambria" w:hAnsi="Baskerville Old Face" w:cs="Cambria"/>
                <w:sz w:val="24"/>
                <w:szCs w:val="24"/>
                <w:lang w:val="en-ID"/>
              </w:rPr>
            </w:pPr>
          </w:p>
        </w:tc>
        <w:tc>
          <w:tcPr>
            <w:tcW w:w="634" w:type="pct"/>
            <w:tcBorders>
              <w:bottom w:val="single" w:sz="4" w:space="0" w:color="auto"/>
            </w:tcBorders>
            <w:vAlign w:val="center"/>
            <w:hideMark/>
          </w:tcPr>
          <w:p w14:paraId="06EA7D6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Statistics</w:t>
            </w:r>
          </w:p>
        </w:tc>
        <w:tc>
          <w:tcPr>
            <w:tcW w:w="634" w:type="pct"/>
            <w:tcBorders>
              <w:bottom w:val="single" w:sz="4" w:space="0" w:color="auto"/>
            </w:tcBorders>
            <w:vAlign w:val="center"/>
            <w:hideMark/>
          </w:tcPr>
          <w:p w14:paraId="6CDA3FA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Df</w:t>
            </w:r>
          </w:p>
        </w:tc>
        <w:tc>
          <w:tcPr>
            <w:tcW w:w="636" w:type="pct"/>
            <w:tcBorders>
              <w:bottom w:val="single" w:sz="4" w:space="0" w:color="auto"/>
            </w:tcBorders>
            <w:vAlign w:val="center"/>
            <w:hideMark/>
          </w:tcPr>
          <w:p w14:paraId="0BC88B9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c>
          <w:tcPr>
            <w:tcW w:w="633" w:type="pct"/>
            <w:tcBorders>
              <w:bottom w:val="single" w:sz="4" w:space="0" w:color="auto"/>
            </w:tcBorders>
            <w:vAlign w:val="center"/>
            <w:hideMark/>
          </w:tcPr>
          <w:p w14:paraId="27A0C47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Statistics</w:t>
            </w:r>
          </w:p>
        </w:tc>
        <w:tc>
          <w:tcPr>
            <w:tcW w:w="633" w:type="pct"/>
            <w:tcBorders>
              <w:bottom w:val="single" w:sz="4" w:space="0" w:color="auto"/>
            </w:tcBorders>
            <w:vAlign w:val="center"/>
            <w:hideMark/>
          </w:tcPr>
          <w:p w14:paraId="5D9D556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df</w:t>
            </w:r>
          </w:p>
        </w:tc>
        <w:tc>
          <w:tcPr>
            <w:tcW w:w="637" w:type="pct"/>
            <w:tcBorders>
              <w:bottom w:val="single" w:sz="4" w:space="0" w:color="auto"/>
            </w:tcBorders>
            <w:vAlign w:val="center"/>
            <w:hideMark/>
          </w:tcPr>
          <w:p w14:paraId="77E14FC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r>
      <w:tr w:rsidR="00DC6E2B" w:rsidRPr="00D47213" w14:paraId="57746673" w14:textId="77777777" w:rsidTr="005144C4">
        <w:trPr>
          <w:cantSplit/>
          <w:trHeight w:val="213"/>
          <w:jc w:val="center"/>
        </w:trPr>
        <w:tc>
          <w:tcPr>
            <w:tcW w:w="1194" w:type="pct"/>
            <w:tcBorders>
              <w:top w:val="single" w:sz="4" w:space="0" w:color="auto"/>
            </w:tcBorders>
            <w:vAlign w:val="center"/>
            <w:hideMark/>
          </w:tcPr>
          <w:p w14:paraId="26CA4BA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Use of ICT</w:t>
            </w:r>
          </w:p>
        </w:tc>
        <w:tc>
          <w:tcPr>
            <w:tcW w:w="634" w:type="pct"/>
            <w:tcBorders>
              <w:top w:val="single" w:sz="4" w:space="0" w:color="auto"/>
            </w:tcBorders>
            <w:vAlign w:val="center"/>
            <w:hideMark/>
          </w:tcPr>
          <w:p w14:paraId="39C5CF5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.059</w:t>
            </w:r>
          </w:p>
        </w:tc>
        <w:tc>
          <w:tcPr>
            <w:tcW w:w="634" w:type="pct"/>
            <w:tcBorders>
              <w:top w:val="single" w:sz="4" w:space="0" w:color="auto"/>
            </w:tcBorders>
            <w:vAlign w:val="center"/>
            <w:hideMark/>
          </w:tcPr>
          <w:p w14:paraId="74B1005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6" w:type="pct"/>
            <w:tcBorders>
              <w:top w:val="single" w:sz="4" w:space="0" w:color="auto"/>
            </w:tcBorders>
            <w:vAlign w:val="center"/>
            <w:hideMark/>
          </w:tcPr>
          <w:p w14:paraId="4568115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.200 </w:t>
            </w:r>
            <w:r w:rsidRPr="00D47213">
              <w:rPr>
                <w:rFonts w:ascii="Baskerville Old Face" w:eastAsia="Cambria" w:hAnsi="Baskerville Old Face" w:cs="Cambria"/>
                <w:sz w:val="24"/>
                <w:szCs w:val="24"/>
                <w:vertAlign w:val="superscript"/>
                <w:lang w:val="en-ID"/>
              </w:rPr>
              <w:t>*</w:t>
            </w:r>
          </w:p>
        </w:tc>
        <w:tc>
          <w:tcPr>
            <w:tcW w:w="633" w:type="pct"/>
            <w:tcBorders>
              <w:top w:val="single" w:sz="4" w:space="0" w:color="auto"/>
            </w:tcBorders>
            <w:vAlign w:val="center"/>
            <w:hideMark/>
          </w:tcPr>
          <w:p w14:paraId="446DB50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.994</w:t>
            </w:r>
          </w:p>
        </w:tc>
        <w:tc>
          <w:tcPr>
            <w:tcW w:w="633" w:type="pct"/>
            <w:tcBorders>
              <w:top w:val="single" w:sz="4" w:space="0" w:color="auto"/>
            </w:tcBorders>
            <w:vAlign w:val="center"/>
            <w:hideMark/>
          </w:tcPr>
          <w:p w14:paraId="3FC6D4D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7" w:type="pct"/>
            <w:tcBorders>
              <w:top w:val="single" w:sz="4" w:space="0" w:color="auto"/>
            </w:tcBorders>
            <w:vAlign w:val="center"/>
            <w:hideMark/>
          </w:tcPr>
          <w:p w14:paraId="49E0FDC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.934</w:t>
            </w:r>
          </w:p>
        </w:tc>
      </w:tr>
      <w:tr w:rsidR="00DC6E2B" w:rsidRPr="00D47213" w14:paraId="78F002D5" w14:textId="77777777" w:rsidTr="005144C4">
        <w:trPr>
          <w:cantSplit/>
          <w:trHeight w:val="213"/>
          <w:jc w:val="center"/>
        </w:trPr>
        <w:tc>
          <w:tcPr>
            <w:tcW w:w="1194" w:type="pct"/>
            <w:vAlign w:val="center"/>
            <w:hideMark/>
          </w:tcPr>
          <w:p w14:paraId="278B3B9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Quality infrastructure</w:t>
            </w:r>
          </w:p>
        </w:tc>
        <w:tc>
          <w:tcPr>
            <w:tcW w:w="634" w:type="pct"/>
            <w:vAlign w:val="center"/>
            <w:hideMark/>
          </w:tcPr>
          <w:p w14:paraId="237A0CB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.069</w:t>
            </w:r>
          </w:p>
        </w:tc>
        <w:tc>
          <w:tcPr>
            <w:tcW w:w="634" w:type="pct"/>
            <w:vAlign w:val="center"/>
            <w:hideMark/>
          </w:tcPr>
          <w:p w14:paraId="1C4586F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6" w:type="pct"/>
            <w:vAlign w:val="center"/>
            <w:hideMark/>
          </w:tcPr>
          <w:p w14:paraId="32569E9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.200 </w:t>
            </w:r>
            <w:r w:rsidRPr="00D47213">
              <w:rPr>
                <w:rFonts w:ascii="Baskerville Old Face" w:eastAsia="Cambria" w:hAnsi="Baskerville Old Face" w:cs="Cambria"/>
                <w:sz w:val="24"/>
                <w:szCs w:val="24"/>
                <w:vertAlign w:val="superscript"/>
                <w:lang w:val="en-ID"/>
              </w:rPr>
              <w:t>*</w:t>
            </w:r>
          </w:p>
        </w:tc>
        <w:tc>
          <w:tcPr>
            <w:tcW w:w="633" w:type="pct"/>
            <w:vAlign w:val="center"/>
            <w:hideMark/>
          </w:tcPr>
          <w:p w14:paraId="400E2AC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.989</w:t>
            </w:r>
          </w:p>
        </w:tc>
        <w:tc>
          <w:tcPr>
            <w:tcW w:w="633" w:type="pct"/>
            <w:vAlign w:val="center"/>
            <w:hideMark/>
          </w:tcPr>
          <w:p w14:paraId="7A8B985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7" w:type="pct"/>
            <w:vAlign w:val="center"/>
            <w:hideMark/>
          </w:tcPr>
          <w:p w14:paraId="5860141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.569</w:t>
            </w:r>
          </w:p>
        </w:tc>
      </w:tr>
      <w:tr w:rsidR="00DC6E2B" w:rsidRPr="00D47213" w14:paraId="68F60AB2" w14:textId="77777777" w:rsidTr="005144C4">
        <w:trPr>
          <w:cantSplit/>
          <w:trHeight w:val="213"/>
          <w:jc w:val="center"/>
        </w:trPr>
        <w:tc>
          <w:tcPr>
            <w:tcW w:w="1194" w:type="pct"/>
            <w:tcBorders>
              <w:bottom w:val="single" w:sz="4" w:space="0" w:color="auto"/>
            </w:tcBorders>
            <w:vAlign w:val="center"/>
            <w:hideMark/>
          </w:tcPr>
          <w:p w14:paraId="2AA999F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Quality of Learning</w:t>
            </w:r>
          </w:p>
        </w:tc>
        <w:tc>
          <w:tcPr>
            <w:tcW w:w="634" w:type="pct"/>
            <w:tcBorders>
              <w:bottom w:val="single" w:sz="4" w:space="0" w:color="auto"/>
            </w:tcBorders>
            <w:vAlign w:val="center"/>
            <w:hideMark/>
          </w:tcPr>
          <w:p w14:paraId="47848AD9"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.083</w:t>
            </w:r>
          </w:p>
        </w:tc>
        <w:tc>
          <w:tcPr>
            <w:tcW w:w="634" w:type="pct"/>
            <w:tcBorders>
              <w:bottom w:val="single" w:sz="4" w:space="0" w:color="auto"/>
            </w:tcBorders>
            <w:vAlign w:val="center"/>
            <w:hideMark/>
          </w:tcPr>
          <w:p w14:paraId="42CF72C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6" w:type="pct"/>
            <w:tcBorders>
              <w:bottom w:val="single" w:sz="4" w:space="0" w:color="auto"/>
            </w:tcBorders>
            <w:vAlign w:val="center"/>
            <w:hideMark/>
          </w:tcPr>
          <w:p w14:paraId="2B74501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.077</w:t>
            </w:r>
          </w:p>
        </w:tc>
        <w:tc>
          <w:tcPr>
            <w:tcW w:w="633" w:type="pct"/>
            <w:tcBorders>
              <w:bottom w:val="single" w:sz="4" w:space="0" w:color="auto"/>
            </w:tcBorders>
            <w:vAlign w:val="center"/>
            <w:hideMark/>
          </w:tcPr>
          <w:p w14:paraId="28310A2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.985</w:t>
            </w:r>
          </w:p>
        </w:tc>
        <w:tc>
          <w:tcPr>
            <w:tcW w:w="633" w:type="pct"/>
            <w:tcBorders>
              <w:bottom w:val="single" w:sz="4" w:space="0" w:color="auto"/>
            </w:tcBorders>
            <w:vAlign w:val="center"/>
            <w:hideMark/>
          </w:tcPr>
          <w:p w14:paraId="7C5F2972"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102</w:t>
            </w:r>
          </w:p>
        </w:tc>
        <w:tc>
          <w:tcPr>
            <w:tcW w:w="637" w:type="pct"/>
            <w:tcBorders>
              <w:bottom w:val="single" w:sz="4" w:space="0" w:color="auto"/>
            </w:tcBorders>
            <w:vAlign w:val="center"/>
            <w:hideMark/>
          </w:tcPr>
          <w:p w14:paraId="69C5EBD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.326</w:t>
            </w:r>
          </w:p>
        </w:tc>
      </w:tr>
    </w:tbl>
    <w:p w14:paraId="51B38910" w14:textId="77777777" w:rsidR="00DC6E2B" w:rsidRPr="00D47213" w:rsidRDefault="00DC6E2B" w:rsidP="00DC6E2B">
      <w:pPr>
        <w:jc w:val="both"/>
        <w:rPr>
          <w:rFonts w:ascii="Baskerville Old Face" w:eastAsia="Cambria" w:hAnsi="Baskerville Old Face" w:cs="Cambria"/>
          <w:sz w:val="24"/>
          <w:szCs w:val="24"/>
        </w:rPr>
      </w:pPr>
    </w:p>
    <w:p w14:paraId="77036D7E" w14:textId="0B069C00"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rPr>
        <w:t xml:space="preserve">Normality test done with use Kolmogorov-Smirnov and Shapiro-Wilk methods on research data. </w:t>
      </w:r>
      <w:r w:rsidRPr="00D10F08">
        <w:rPr>
          <w:rFonts w:ascii="Baskerville Old Face" w:eastAsia="Cambria" w:hAnsi="Baskerville Old Face" w:cs="Cambria"/>
          <w:sz w:val="24"/>
          <w:szCs w:val="24"/>
          <w:lang w:val="en-ID"/>
        </w:rPr>
        <w:t>Results</w:t>
      </w:r>
      <w:r w:rsidRPr="00D47213">
        <w:rPr>
          <w:rFonts w:ascii="Baskerville Old Face" w:eastAsia="Cambria" w:hAnsi="Baskerville Old Face" w:cs="Cambria"/>
          <w:sz w:val="24"/>
          <w:szCs w:val="24"/>
        </w:rPr>
        <w:t xml:space="preserve"> of the analysis show that all over variables own mark significance (Sig.) more big from level </w:t>
      </w:r>
      <w:r w:rsidRPr="00D47213">
        <w:rPr>
          <w:rFonts w:ascii="Baskerville Old Face" w:eastAsia="Cambria" w:hAnsi="Baskerville Old Face" w:cs="Cambria"/>
          <w:sz w:val="24"/>
          <w:szCs w:val="24"/>
        </w:rPr>
        <w:lastRenderedPageBreak/>
        <w:t xml:space="preserve">significance 0.05. Variable The use of ICT to obtain Sig. value of 0.200 (Kolmogorov-Smirnov) and 0.934 (Shapiro-Wilk). Variable Quality of Facilities and Infrastructure get Sig. value of 0.200 (Kolmogorov-Smirnov) and 0.569 (Shapiro-Wilk). Learning Quality Variable get The Sig. value is 0.077 (Kolmogorov-Smirnov) and 0.326 (Shapiro-Wilk). </w:t>
      </w:r>
      <w:r w:rsidRPr="00D47213">
        <w:rPr>
          <w:rFonts w:ascii="Baskerville Old Face" w:eastAsia="Cambria" w:hAnsi="Baskerville Old Face" w:cs="Cambria"/>
          <w:sz w:val="24"/>
          <w:szCs w:val="24"/>
          <w:lang w:val="en-ID"/>
        </w:rPr>
        <w:t>Since all significance values are greater than 0.05, it can be concluded that the residual data from the three variables are normally distributed.</w:t>
      </w:r>
      <w:r w:rsidR="00D10F08">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en-ID"/>
        </w:rPr>
        <w:t>The normality test using a histogram is shown in the following image:</w:t>
      </w:r>
    </w:p>
    <w:p w14:paraId="598C7B93" w14:textId="4F7D3D0D" w:rsidR="00DC6E2B" w:rsidRPr="00D47213" w:rsidRDefault="00DC6E2B" w:rsidP="00DC6E2B">
      <w:pPr>
        <w:jc w:val="both"/>
        <w:rPr>
          <w:rFonts w:ascii="Baskerville Old Face" w:eastAsia="Cambria" w:hAnsi="Baskerville Old Face" w:cs="Cambria"/>
          <w:sz w:val="24"/>
          <w:szCs w:val="24"/>
          <w:lang w:val="en-ID"/>
        </w:rPr>
      </w:pPr>
    </w:p>
    <w:p w14:paraId="7D6D9987" w14:textId="163EDB7B" w:rsidR="00DC6E2B" w:rsidRPr="00D47213" w:rsidRDefault="00D10F08" w:rsidP="00DC6E2B">
      <w:pPr>
        <w:jc w:val="both"/>
        <w:rPr>
          <w:rFonts w:ascii="Baskerville Old Face" w:eastAsia="Cambria" w:hAnsi="Baskerville Old Face" w:cs="Cambria"/>
          <w:sz w:val="24"/>
          <w:szCs w:val="24"/>
          <w:lang w:val="id-ID"/>
        </w:rPr>
      </w:pPr>
      <w:r w:rsidRPr="00D47213">
        <w:rPr>
          <w:rFonts w:ascii="Baskerville Old Face" w:eastAsia="Cambria" w:hAnsi="Baskerville Old Face" w:cs="Cambria"/>
          <w:noProof/>
          <w:sz w:val="24"/>
          <w:szCs w:val="24"/>
        </w:rPr>
        <w:drawing>
          <wp:anchor distT="0" distB="0" distL="114300" distR="114300" simplePos="0" relativeHeight="251662336" behindDoc="0" locked="0" layoutInCell="1" allowOverlap="1" wp14:anchorId="2A71B35F" wp14:editId="71F88028">
            <wp:simplePos x="0" y="0"/>
            <wp:positionH relativeFrom="page">
              <wp:posOffset>2596515</wp:posOffset>
            </wp:positionH>
            <wp:positionV relativeFrom="paragraph">
              <wp:posOffset>116840</wp:posOffset>
            </wp:positionV>
            <wp:extent cx="2828925" cy="1473106"/>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28925" cy="1473106"/>
                    </a:xfrm>
                    <a:prstGeom prst="rect">
                      <a:avLst/>
                    </a:prstGeom>
                    <a:noFill/>
                  </pic:spPr>
                </pic:pic>
              </a:graphicData>
            </a:graphic>
            <wp14:sizeRelH relativeFrom="page">
              <wp14:pctWidth>0</wp14:pctWidth>
            </wp14:sizeRelH>
            <wp14:sizeRelV relativeFrom="page">
              <wp14:pctHeight>0</wp14:pctHeight>
            </wp14:sizeRelV>
          </wp:anchor>
        </w:drawing>
      </w:r>
    </w:p>
    <w:p w14:paraId="70A7DC28" w14:textId="4B9E62BD" w:rsidR="00DC6E2B" w:rsidRPr="00D47213" w:rsidRDefault="00DC6E2B" w:rsidP="00DC6E2B">
      <w:pPr>
        <w:jc w:val="both"/>
        <w:rPr>
          <w:rFonts w:ascii="Baskerville Old Face" w:eastAsia="Cambria" w:hAnsi="Baskerville Old Face" w:cs="Cambria"/>
          <w:b/>
          <w:bCs/>
          <w:sz w:val="24"/>
          <w:szCs w:val="24"/>
          <w:lang w:val="en-ID"/>
        </w:rPr>
      </w:pPr>
    </w:p>
    <w:p w14:paraId="72B5DE25" w14:textId="77777777" w:rsidR="00DC6E2B" w:rsidRPr="00D47213" w:rsidRDefault="00DC6E2B" w:rsidP="00DC6E2B">
      <w:pPr>
        <w:jc w:val="both"/>
        <w:rPr>
          <w:rFonts w:ascii="Baskerville Old Face" w:eastAsia="Cambria" w:hAnsi="Baskerville Old Face" w:cs="Cambria"/>
          <w:b/>
          <w:bCs/>
          <w:sz w:val="24"/>
          <w:szCs w:val="24"/>
          <w:lang w:val="en-ID"/>
        </w:rPr>
      </w:pPr>
    </w:p>
    <w:p w14:paraId="461815C5" w14:textId="77777777" w:rsidR="00DC6E2B" w:rsidRPr="00D47213" w:rsidRDefault="00DC6E2B" w:rsidP="00DC6E2B">
      <w:pPr>
        <w:jc w:val="both"/>
        <w:rPr>
          <w:rFonts w:ascii="Baskerville Old Face" w:eastAsia="Cambria" w:hAnsi="Baskerville Old Face" w:cs="Cambria"/>
          <w:b/>
          <w:bCs/>
          <w:sz w:val="24"/>
          <w:szCs w:val="24"/>
          <w:lang w:val="en-ID"/>
        </w:rPr>
      </w:pPr>
    </w:p>
    <w:p w14:paraId="250808CD" w14:textId="77777777" w:rsidR="00DC6E2B" w:rsidRPr="00D47213" w:rsidRDefault="00DC6E2B" w:rsidP="00DC6E2B">
      <w:pPr>
        <w:jc w:val="both"/>
        <w:rPr>
          <w:rFonts w:ascii="Baskerville Old Face" w:eastAsia="Cambria" w:hAnsi="Baskerville Old Face" w:cs="Cambria"/>
          <w:b/>
          <w:bCs/>
          <w:sz w:val="24"/>
          <w:szCs w:val="24"/>
          <w:lang w:val="en-ID"/>
        </w:rPr>
      </w:pPr>
    </w:p>
    <w:p w14:paraId="404658F8" w14:textId="77777777" w:rsidR="00DC6E2B" w:rsidRPr="00D47213" w:rsidRDefault="00DC6E2B" w:rsidP="00DC6E2B">
      <w:pPr>
        <w:jc w:val="both"/>
        <w:rPr>
          <w:rFonts w:ascii="Baskerville Old Face" w:eastAsia="Cambria" w:hAnsi="Baskerville Old Face" w:cs="Cambria"/>
          <w:b/>
          <w:bCs/>
          <w:sz w:val="24"/>
          <w:szCs w:val="24"/>
          <w:lang w:val="en-ID"/>
        </w:rPr>
      </w:pPr>
    </w:p>
    <w:p w14:paraId="148901F3" w14:textId="77777777" w:rsidR="00DC6E2B" w:rsidRPr="00D47213" w:rsidRDefault="00DC6E2B" w:rsidP="00DC6E2B">
      <w:pPr>
        <w:jc w:val="both"/>
        <w:rPr>
          <w:rFonts w:ascii="Baskerville Old Face" w:eastAsia="Cambria" w:hAnsi="Baskerville Old Face" w:cs="Cambria"/>
          <w:b/>
          <w:bCs/>
          <w:sz w:val="24"/>
          <w:szCs w:val="24"/>
          <w:lang w:val="en-ID"/>
        </w:rPr>
      </w:pPr>
    </w:p>
    <w:p w14:paraId="4E2A66EB" w14:textId="77777777" w:rsidR="00DC6E2B" w:rsidRPr="00D47213" w:rsidRDefault="00DC6E2B" w:rsidP="00DC6E2B">
      <w:pPr>
        <w:jc w:val="both"/>
        <w:rPr>
          <w:rFonts w:ascii="Baskerville Old Face" w:eastAsia="Cambria" w:hAnsi="Baskerville Old Face" w:cs="Cambria"/>
          <w:b/>
          <w:bCs/>
          <w:sz w:val="24"/>
          <w:szCs w:val="24"/>
          <w:lang w:val="en-ID"/>
        </w:rPr>
      </w:pPr>
    </w:p>
    <w:p w14:paraId="64E86971" w14:textId="77777777" w:rsidR="00DC6E2B" w:rsidRPr="00D47213" w:rsidRDefault="00DC6E2B" w:rsidP="00DC6E2B">
      <w:pPr>
        <w:jc w:val="both"/>
        <w:rPr>
          <w:rFonts w:ascii="Baskerville Old Face" w:eastAsia="Cambria" w:hAnsi="Baskerville Old Face" w:cs="Cambria"/>
          <w:b/>
          <w:bCs/>
          <w:sz w:val="24"/>
          <w:szCs w:val="24"/>
          <w:lang w:val="en-ID"/>
        </w:rPr>
      </w:pPr>
    </w:p>
    <w:p w14:paraId="65CFFA48" w14:textId="77777777" w:rsidR="00DC6E2B" w:rsidRPr="00D47213" w:rsidRDefault="00DC6E2B" w:rsidP="00DC6E2B">
      <w:pPr>
        <w:jc w:val="both"/>
        <w:rPr>
          <w:rFonts w:ascii="Baskerville Old Face" w:eastAsia="Cambria" w:hAnsi="Baskerville Old Face" w:cs="Cambria"/>
          <w:b/>
          <w:bCs/>
          <w:sz w:val="24"/>
          <w:szCs w:val="24"/>
          <w:lang w:val="en-ID"/>
        </w:rPr>
      </w:pPr>
    </w:p>
    <w:p w14:paraId="7B64B4EE" w14:textId="5499F34C" w:rsidR="00DC6E2B" w:rsidRPr="00D47213" w:rsidRDefault="00DC6E2B" w:rsidP="00DC6E2B">
      <w:pPr>
        <w:jc w:val="center"/>
        <w:rPr>
          <w:rFonts w:ascii="Baskerville Old Face" w:eastAsia="Cambria" w:hAnsi="Baskerville Old Face" w:cs="Cambria"/>
          <w:sz w:val="24"/>
          <w:szCs w:val="24"/>
          <w:lang w:val="id-ID"/>
        </w:rPr>
      </w:pPr>
      <w:r w:rsidRPr="00D10F08">
        <w:rPr>
          <w:rFonts w:ascii="Baskerville Old Face" w:eastAsia="Cambria" w:hAnsi="Baskerville Old Face" w:cs="Cambria"/>
          <w:b/>
          <w:bCs/>
          <w:sz w:val="24"/>
          <w:szCs w:val="24"/>
          <w:lang w:val="id-ID"/>
        </w:rPr>
        <w:t>Figure 1.</w:t>
      </w:r>
      <w:r w:rsidRPr="00D47213">
        <w:rPr>
          <w:rFonts w:ascii="Baskerville Old Face" w:eastAsia="Cambria" w:hAnsi="Baskerville Old Face" w:cs="Cambria"/>
          <w:sz w:val="24"/>
          <w:szCs w:val="24"/>
          <w:lang w:val="id-ID"/>
        </w:rPr>
        <w:t xml:space="preserve"> Histogram of ICT Usage</w:t>
      </w:r>
    </w:p>
    <w:p w14:paraId="2291302E" w14:textId="77777777" w:rsidR="00D10F08" w:rsidRDefault="00D10F08" w:rsidP="00D10F08">
      <w:pPr>
        <w:ind w:firstLine="567"/>
        <w:jc w:val="both"/>
        <w:rPr>
          <w:rFonts w:ascii="Baskerville Old Face" w:eastAsia="Cambria" w:hAnsi="Baskerville Old Face" w:cs="Cambria"/>
          <w:sz w:val="24"/>
          <w:szCs w:val="24"/>
          <w:lang w:val="id-ID"/>
        </w:rPr>
      </w:pPr>
    </w:p>
    <w:p w14:paraId="617DFAE1" w14:textId="7096F7F9" w:rsidR="00DC6E2B" w:rsidRPr="00D47213" w:rsidRDefault="00D10F08"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noProof/>
          <w:sz w:val="24"/>
          <w:szCs w:val="24"/>
          <w:lang w:val="en-ID"/>
        </w:rPr>
        <w:drawing>
          <wp:anchor distT="0" distB="0" distL="114300" distR="114300" simplePos="0" relativeHeight="251663360" behindDoc="0" locked="0" layoutInCell="1" allowOverlap="1" wp14:anchorId="66FB04D9" wp14:editId="3DBF60FC">
            <wp:simplePos x="0" y="0"/>
            <wp:positionH relativeFrom="margin">
              <wp:posOffset>1619885</wp:posOffset>
            </wp:positionH>
            <wp:positionV relativeFrom="paragraph">
              <wp:posOffset>1214120</wp:posOffset>
            </wp:positionV>
            <wp:extent cx="3300897" cy="16192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00897" cy="1619250"/>
                    </a:xfrm>
                    <a:prstGeom prst="rect">
                      <a:avLst/>
                    </a:prstGeom>
                    <a:noFill/>
                  </pic:spPr>
                </pic:pic>
              </a:graphicData>
            </a:graphic>
            <wp14:sizeRelH relativeFrom="page">
              <wp14:pctWidth>0</wp14:pctWidth>
            </wp14:sizeRelH>
            <wp14:sizeRelV relativeFrom="page">
              <wp14:pctHeight>0</wp14:pctHeight>
            </wp14:sizeRelV>
          </wp:anchor>
        </w:drawing>
      </w:r>
      <w:r w:rsidR="00DC6E2B" w:rsidRPr="00D47213">
        <w:rPr>
          <w:rFonts w:ascii="Baskerville Old Face" w:eastAsia="Cambria" w:hAnsi="Baskerville Old Face" w:cs="Cambria"/>
          <w:sz w:val="24"/>
          <w:szCs w:val="24"/>
          <w:lang w:val="id-ID"/>
        </w:rPr>
        <w:t xml:space="preserve">Based on the results of the normality test using a histogram on the ICT Usage variable, the data distribution pattern formed a bell </w:t>
      </w:r>
      <w:r w:rsidR="00DC6E2B" w:rsidRPr="00D47213">
        <w:rPr>
          <w:rFonts w:ascii="Baskerville Old Face" w:eastAsia="Cambria" w:hAnsi="Baskerville Old Face" w:cs="Cambria"/>
          <w:i/>
          <w:iCs/>
          <w:sz w:val="24"/>
          <w:szCs w:val="24"/>
          <w:lang w:val="id-ID"/>
        </w:rPr>
        <w:t xml:space="preserve">-shaped curve </w:t>
      </w:r>
      <w:r w:rsidR="00DC6E2B" w:rsidRPr="00D47213">
        <w:rPr>
          <w:rFonts w:ascii="Baskerville Old Face" w:eastAsia="Cambria" w:hAnsi="Baskerville Old Face" w:cs="Cambria"/>
          <w:sz w:val="24"/>
          <w:szCs w:val="24"/>
          <w:lang w:val="id-ID"/>
        </w:rPr>
        <w:t xml:space="preserve">and the data distribution looked relatively symmetrical. </w:t>
      </w:r>
      <w:r w:rsidR="00DC6E2B" w:rsidRPr="00D47213">
        <w:rPr>
          <w:rFonts w:ascii="Baskerville Old Face" w:eastAsia="Cambria" w:hAnsi="Baskerville Old Face" w:cs="Cambria"/>
          <w:sz w:val="24"/>
          <w:szCs w:val="24"/>
          <w:lang w:val="en-ID"/>
        </w:rPr>
        <w:t xml:space="preserve">The data </w:t>
      </w:r>
      <w:r w:rsidR="00DC6E2B" w:rsidRPr="00D10F08">
        <w:rPr>
          <w:rFonts w:ascii="Baskerville Old Face" w:eastAsia="Cambria" w:hAnsi="Baskerville Old Face" w:cs="Cambria"/>
          <w:sz w:val="24"/>
          <w:szCs w:val="24"/>
        </w:rPr>
        <w:t>frequency</w:t>
      </w:r>
      <w:r w:rsidR="00DC6E2B" w:rsidRPr="00D47213">
        <w:rPr>
          <w:rFonts w:ascii="Baskerville Old Face" w:eastAsia="Cambria" w:hAnsi="Baskerville Old Face" w:cs="Cambria"/>
          <w:sz w:val="24"/>
          <w:szCs w:val="24"/>
          <w:lang w:val="en-ID"/>
        </w:rPr>
        <w:t xml:space="preserve"> was concentrated at the middle value without any significant extreme deviations. The histogram output showed an average value ( </w:t>
      </w:r>
      <w:r w:rsidR="00DC6E2B" w:rsidRPr="00D47213">
        <w:rPr>
          <w:rFonts w:ascii="Baskerville Old Face" w:eastAsia="Cambria" w:hAnsi="Baskerville Old Face" w:cs="Cambria"/>
          <w:i/>
          <w:iCs/>
          <w:sz w:val="24"/>
          <w:szCs w:val="24"/>
          <w:lang w:val="en-ID"/>
        </w:rPr>
        <w:t>mean</w:t>
      </w:r>
      <w:r>
        <w:rPr>
          <w:rFonts w:ascii="Baskerville Old Face" w:eastAsia="Cambria" w:hAnsi="Baskerville Old Face" w:cs="Cambria"/>
          <w:i/>
          <w:iCs/>
          <w:sz w:val="24"/>
          <w:szCs w:val="24"/>
          <w:lang w:val="en-ID"/>
        </w:rPr>
        <w:t>)</w:t>
      </w:r>
      <w:r w:rsidR="00DC6E2B" w:rsidRPr="00D47213">
        <w:rPr>
          <w:rFonts w:ascii="Baskerville Old Face" w:eastAsia="Cambria" w:hAnsi="Baskerville Old Face" w:cs="Cambria"/>
          <w:sz w:val="24"/>
          <w:szCs w:val="24"/>
          <w:lang w:val="en-ID"/>
        </w:rPr>
        <w:t xml:space="preserve"> of 114.58 with a standard deviation of 8.476 and a total of 102 respondents. Thus, it can be concluded that the ICT Usage variable data is normally distributed so that it meets the assumption of normality and is suitable for use in parametric statistical analysis.</w:t>
      </w:r>
    </w:p>
    <w:p w14:paraId="390E83A6" w14:textId="1378372F" w:rsidR="00DC6E2B" w:rsidRPr="00D47213" w:rsidRDefault="00DC6E2B" w:rsidP="00DC6E2B">
      <w:pPr>
        <w:jc w:val="both"/>
        <w:rPr>
          <w:rFonts w:ascii="Baskerville Old Face" w:eastAsia="Cambria" w:hAnsi="Baskerville Old Face" w:cs="Cambria"/>
          <w:sz w:val="24"/>
          <w:szCs w:val="24"/>
          <w:lang w:val="en-ID"/>
        </w:rPr>
      </w:pPr>
    </w:p>
    <w:p w14:paraId="7CDD3F15" w14:textId="77777777" w:rsidR="00DC6E2B" w:rsidRPr="00D47213" w:rsidRDefault="00DC6E2B" w:rsidP="00DC6E2B">
      <w:pPr>
        <w:jc w:val="both"/>
        <w:rPr>
          <w:rFonts w:ascii="Baskerville Old Face" w:eastAsia="Cambria" w:hAnsi="Baskerville Old Face" w:cs="Cambria"/>
          <w:sz w:val="24"/>
          <w:szCs w:val="24"/>
          <w:lang w:val="en-ID"/>
        </w:rPr>
      </w:pPr>
    </w:p>
    <w:p w14:paraId="4ECA0948" w14:textId="77777777" w:rsidR="00DC6E2B" w:rsidRPr="00D47213" w:rsidRDefault="00DC6E2B" w:rsidP="00DC6E2B">
      <w:pPr>
        <w:jc w:val="both"/>
        <w:rPr>
          <w:rFonts w:ascii="Baskerville Old Face" w:eastAsia="Cambria" w:hAnsi="Baskerville Old Face" w:cs="Cambria"/>
          <w:b/>
          <w:bCs/>
          <w:sz w:val="24"/>
          <w:szCs w:val="24"/>
          <w:lang w:val="en-ID"/>
        </w:rPr>
      </w:pPr>
    </w:p>
    <w:p w14:paraId="37D2E45A" w14:textId="03DAC222" w:rsidR="00DC6E2B" w:rsidRPr="00D47213" w:rsidRDefault="00DC6E2B" w:rsidP="00DC6E2B">
      <w:pPr>
        <w:jc w:val="both"/>
        <w:rPr>
          <w:rFonts w:ascii="Baskerville Old Face" w:eastAsia="Cambria" w:hAnsi="Baskerville Old Face" w:cs="Cambria"/>
          <w:b/>
          <w:bCs/>
          <w:sz w:val="24"/>
          <w:szCs w:val="24"/>
          <w:lang w:val="en-ID"/>
        </w:rPr>
      </w:pPr>
    </w:p>
    <w:p w14:paraId="308F1854" w14:textId="77777777" w:rsidR="00DC6E2B" w:rsidRPr="00D47213" w:rsidRDefault="00DC6E2B" w:rsidP="00DC6E2B">
      <w:pPr>
        <w:jc w:val="both"/>
        <w:rPr>
          <w:rFonts w:ascii="Baskerville Old Face" w:eastAsia="Cambria" w:hAnsi="Baskerville Old Face" w:cs="Cambria"/>
          <w:b/>
          <w:bCs/>
          <w:sz w:val="24"/>
          <w:szCs w:val="24"/>
          <w:lang w:val="en-ID"/>
        </w:rPr>
      </w:pPr>
    </w:p>
    <w:p w14:paraId="7CA51ADD" w14:textId="77777777" w:rsidR="00DC6E2B" w:rsidRPr="00D47213" w:rsidRDefault="00DC6E2B" w:rsidP="00DC6E2B">
      <w:pPr>
        <w:jc w:val="both"/>
        <w:rPr>
          <w:rFonts w:ascii="Baskerville Old Face" w:eastAsia="Cambria" w:hAnsi="Baskerville Old Face" w:cs="Cambria"/>
          <w:b/>
          <w:bCs/>
          <w:sz w:val="24"/>
          <w:szCs w:val="24"/>
          <w:lang w:val="en-ID"/>
        </w:rPr>
      </w:pPr>
    </w:p>
    <w:p w14:paraId="65049402" w14:textId="77777777" w:rsidR="00DC6E2B" w:rsidRPr="00D47213" w:rsidRDefault="00DC6E2B" w:rsidP="00DC6E2B">
      <w:pPr>
        <w:jc w:val="both"/>
        <w:rPr>
          <w:rFonts w:ascii="Baskerville Old Face" w:eastAsia="Cambria" w:hAnsi="Baskerville Old Face" w:cs="Cambria"/>
          <w:b/>
          <w:bCs/>
          <w:sz w:val="24"/>
          <w:szCs w:val="24"/>
          <w:lang w:val="en-ID"/>
        </w:rPr>
      </w:pPr>
    </w:p>
    <w:p w14:paraId="7BAEF726" w14:textId="77777777" w:rsidR="00DC6E2B" w:rsidRPr="00D47213" w:rsidRDefault="00DC6E2B" w:rsidP="00DC6E2B">
      <w:pPr>
        <w:jc w:val="both"/>
        <w:rPr>
          <w:rFonts w:ascii="Baskerville Old Face" w:eastAsia="Cambria" w:hAnsi="Baskerville Old Face" w:cs="Cambria"/>
          <w:b/>
          <w:bCs/>
          <w:sz w:val="24"/>
          <w:szCs w:val="24"/>
          <w:lang w:val="en-ID"/>
        </w:rPr>
      </w:pPr>
    </w:p>
    <w:p w14:paraId="440F62EA" w14:textId="77777777" w:rsidR="00DC6E2B" w:rsidRPr="00D47213" w:rsidRDefault="00DC6E2B" w:rsidP="00DC6E2B">
      <w:pPr>
        <w:jc w:val="both"/>
        <w:rPr>
          <w:rFonts w:ascii="Baskerville Old Face" w:eastAsia="Cambria" w:hAnsi="Baskerville Old Face" w:cs="Cambria"/>
          <w:b/>
          <w:bCs/>
          <w:sz w:val="24"/>
          <w:szCs w:val="24"/>
          <w:lang w:val="en-ID"/>
        </w:rPr>
      </w:pPr>
    </w:p>
    <w:p w14:paraId="020FC6E3" w14:textId="77777777" w:rsidR="00DC6E2B" w:rsidRPr="00D47213" w:rsidRDefault="00DC6E2B" w:rsidP="00DC6E2B">
      <w:pPr>
        <w:jc w:val="both"/>
        <w:rPr>
          <w:rFonts w:ascii="Baskerville Old Face" w:eastAsia="Cambria" w:hAnsi="Baskerville Old Face" w:cs="Cambria"/>
          <w:b/>
          <w:bCs/>
          <w:sz w:val="24"/>
          <w:szCs w:val="24"/>
          <w:lang w:val="en-ID"/>
        </w:rPr>
      </w:pPr>
    </w:p>
    <w:p w14:paraId="024C78A0" w14:textId="3A455232" w:rsidR="00DC6E2B" w:rsidRPr="00D47213" w:rsidRDefault="00DC6E2B" w:rsidP="00DC6E2B">
      <w:pPr>
        <w:jc w:val="center"/>
        <w:rPr>
          <w:rFonts w:ascii="Baskerville Old Face" w:eastAsia="Cambria" w:hAnsi="Baskerville Old Face" w:cs="Cambria"/>
          <w:sz w:val="24"/>
          <w:szCs w:val="24"/>
          <w:lang w:val="en-ID"/>
        </w:rPr>
      </w:pPr>
      <w:r w:rsidRPr="00D10F08">
        <w:rPr>
          <w:rFonts w:ascii="Baskerville Old Face" w:eastAsia="Cambria" w:hAnsi="Baskerville Old Face" w:cs="Cambria"/>
          <w:b/>
          <w:bCs/>
          <w:sz w:val="24"/>
          <w:szCs w:val="24"/>
          <w:lang w:val="en-ID"/>
        </w:rPr>
        <w:t>Figure 2.</w:t>
      </w:r>
      <w:r w:rsidRPr="00D47213">
        <w:rPr>
          <w:rFonts w:ascii="Baskerville Old Face" w:eastAsia="Cambria" w:hAnsi="Baskerville Old Face" w:cs="Cambria"/>
          <w:sz w:val="24"/>
          <w:szCs w:val="24"/>
          <w:lang w:val="en-ID"/>
        </w:rPr>
        <w:t xml:space="preserve"> Histogram of Infrastructure Quality</w:t>
      </w:r>
    </w:p>
    <w:p w14:paraId="24E6C248" w14:textId="77777777" w:rsidR="00D10F08" w:rsidRDefault="00D10F08" w:rsidP="00D10F08">
      <w:pPr>
        <w:ind w:firstLine="567"/>
        <w:jc w:val="both"/>
        <w:rPr>
          <w:rFonts w:ascii="Baskerville Old Face" w:eastAsia="Cambria" w:hAnsi="Baskerville Old Face" w:cs="Cambria"/>
          <w:sz w:val="24"/>
          <w:szCs w:val="24"/>
          <w:lang w:val="en-ID"/>
        </w:rPr>
      </w:pPr>
    </w:p>
    <w:p w14:paraId="33767A3E" w14:textId="151C8794"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Based on the results of the normality test using a histogram on the ICT Usage variable, the data distribution pattern formed a bell </w:t>
      </w:r>
      <w:r w:rsidRPr="00D47213">
        <w:rPr>
          <w:rFonts w:ascii="Baskerville Old Face" w:eastAsia="Cambria" w:hAnsi="Baskerville Old Face" w:cs="Cambria"/>
          <w:i/>
          <w:iCs/>
          <w:sz w:val="24"/>
          <w:szCs w:val="24"/>
          <w:lang w:val="en-ID"/>
        </w:rPr>
        <w:t xml:space="preserve">-shaped curve </w:t>
      </w:r>
      <w:r w:rsidRPr="00D47213">
        <w:rPr>
          <w:rFonts w:ascii="Baskerville Old Face" w:eastAsia="Cambria" w:hAnsi="Baskerville Old Face" w:cs="Cambria"/>
          <w:sz w:val="24"/>
          <w:szCs w:val="24"/>
          <w:lang w:val="en-ID"/>
        </w:rPr>
        <w:t xml:space="preserve">and the data distribution looked relatively symmetrical. The data frequency was concentrated at the middle value without any significant extreme deviations. The histogram output showed an average value ( </w:t>
      </w:r>
      <w:r w:rsidRPr="00D47213">
        <w:rPr>
          <w:rFonts w:ascii="Baskerville Old Face" w:eastAsia="Cambria" w:hAnsi="Baskerville Old Face" w:cs="Cambria"/>
          <w:i/>
          <w:iCs/>
          <w:sz w:val="24"/>
          <w:szCs w:val="24"/>
          <w:lang w:val="en-ID"/>
        </w:rPr>
        <w:t>mean</w:t>
      </w:r>
      <w:r w:rsidR="00D10F08">
        <w:rPr>
          <w:rFonts w:ascii="Baskerville Old Face" w:eastAsia="Cambria" w:hAnsi="Baskerville Old Face" w:cs="Cambria"/>
          <w:i/>
          <w:iCs/>
          <w:sz w:val="24"/>
          <w:szCs w:val="24"/>
          <w:lang w:val="en-ID"/>
        </w:rPr>
        <w:t>)</w:t>
      </w:r>
      <w:r w:rsidRPr="00D47213">
        <w:rPr>
          <w:rFonts w:ascii="Baskerville Old Face" w:eastAsia="Cambria" w:hAnsi="Baskerville Old Face" w:cs="Cambria"/>
          <w:sz w:val="24"/>
          <w:szCs w:val="24"/>
          <w:lang w:val="en-ID"/>
        </w:rPr>
        <w:t xml:space="preserve"> of 110.92 with a standard deviation of 7.553 and a total of 102 respondents. Thus, it can be concluded that the ICT Usage variable data is normally distributed so that it meets the assumption of normality and is suitable for use in parametric statistical analysis.</w:t>
      </w:r>
    </w:p>
    <w:p w14:paraId="633C66DA" w14:textId="4F8E4632" w:rsidR="00DC6E2B" w:rsidRPr="00D47213" w:rsidRDefault="00DC6E2B" w:rsidP="00DC6E2B">
      <w:pPr>
        <w:jc w:val="both"/>
        <w:rPr>
          <w:rFonts w:ascii="Baskerville Old Face" w:eastAsia="Cambria" w:hAnsi="Baskerville Old Face" w:cs="Cambria"/>
          <w:sz w:val="24"/>
          <w:szCs w:val="24"/>
          <w:lang w:val="en-ID"/>
        </w:rPr>
      </w:pPr>
      <w:r w:rsidRPr="00D47213">
        <w:rPr>
          <w:rFonts w:ascii="Baskerville Old Face" w:eastAsia="Cambria" w:hAnsi="Baskerville Old Face" w:cs="Cambria"/>
          <w:noProof/>
          <w:sz w:val="24"/>
          <w:szCs w:val="24"/>
          <w:lang w:val="en-ID"/>
        </w:rPr>
        <w:lastRenderedPageBreak/>
        <w:drawing>
          <wp:anchor distT="0" distB="0" distL="114300" distR="114300" simplePos="0" relativeHeight="251664384" behindDoc="0" locked="0" layoutInCell="1" allowOverlap="1" wp14:anchorId="46F5E1A8" wp14:editId="0350A611">
            <wp:simplePos x="0" y="0"/>
            <wp:positionH relativeFrom="page">
              <wp:posOffset>2428875</wp:posOffset>
            </wp:positionH>
            <wp:positionV relativeFrom="paragraph">
              <wp:posOffset>69215</wp:posOffset>
            </wp:positionV>
            <wp:extent cx="3563924" cy="14001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63924" cy="1400175"/>
                    </a:xfrm>
                    <a:prstGeom prst="rect">
                      <a:avLst/>
                    </a:prstGeom>
                    <a:noFill/>
                  </pic:spPr>
                </pic:pic>
              </a:graphicData>
            </a:graphic>
            <wp14:sizeRelH relativeFrom="page">
              <wp14:pctWidth>0</wp14:pctWidth>
            </wp14:sizeRelH>
            <wp14:sizeRelV relativeFrom="page">
              <wp14:pctHeight>0</wp14:pctHeight>
            </wp14:sizeRelV>
          </wp:anchor>
        </w:drawing>
      </w:r>
    </w:p>
    <w:p w14:paraId="1F429A3B" w14:textId="1B220C1A" w:rsidR="00DC6E2B" w:rsidRPr="00D47213" w:rsidRDefault="00DC6E2B" w:rsidP="00DC6E2B">
      <w:pPr>
        <w:jc w:val="both"/>
        <w:rPr>
          <w:rFonts w:ascii="Baskerville Old Face" w:eastAsia="Cambria" w:hAnsi="Baskerville Old Face" w:cs="Cambria"/>
          <w:sz w:val="24"/>
          <w:szCs w:val="24"/>
          <w:lang w:val="en-ID"/>
        </w:rPr>
      </w:pPr>
    </w:p>
    <w:p w14:paraId="59238586" w14:textId="491E6EAA" w:rsidR="00DC6E2B" w:rsidRPr="00D47213" w:rsidRDefault="00DC6E2B" w:rsidP="00DC6E2B">
      <w:pPr>
        <w:jc w:val="both"/>
        <w:rPr>
          <w:rFonts w:ascii="Baskerville Old Face" w:eastAsia="Cambria" w:hAnsi="Baskerville Old Face" w:cs="Cambria"/>
          <w:sz w:val="24"/>
          <w:szCs w:val="24"/>
          <w:lang w:val="en-ID"/>
        </w:rPr>
      </w:pPr>
    </w:p>
    <w:p w14:paraId="42C65972" w14:textId="48D2DD46" w:rsidR="00DC6E2B" w:rsidRPr="00D47213" w:rsidRDefault="00DC6E2B" w:rsidP="00DC6E2B">
      <w:pPr>
        <w:jc w:val="both"/>
        <w:rPr>
          <w:rFonts w:ascii="Baskerville Old Face" w:eastAsia="Cambria" w:hAnsi="Baskerville Old Face" w:cs="Cambria"/>
          <w:b/>
          <w:bCs/>
          <w:sz w:val="24"/>
          <w:szCs w:val="24"/>
          <w:lang w:val="en-ID"/>
        </w:rPr>
      </w:pPr>
    </w:p>
    <w:p w14:paraId="4E62363E" w14:textId="77777777" w:rsidR="00DC6E2B" w:rsidRPr="00D47213" w:rsidRDefault="00DC6E2B" w:rsidP="00DC6E2B">
      <w:pPr>
        <w:jc w:val="both"/>
        <w:rPr>
          <w:rFonts w:ascii="Baskerville Old Face" w:eastAsia="Cambria" w:hAnsi="Baskerville Old Face" w:cs="Cambria"/>
          <w:b/>
          <w:bCs/>
          <w:sz w:val="24"/>
          <w:szCs w:val="24"/>
          <w:lang w:val="en-ID"/>
        </w:rPr>
      </w:pPr>
    </w:p>
    <w:p w14:paraId="483A5289" w14:textId="77777777" w:rsidR="00DC6E2B" w:rsidRPr="00D47213" w:rsidRDefault="00DC6E2B" w:rsidP="00DC6E2B">
      <w:pPr>
        <w:jc w:val="both"/>
        <w:rPr>
          <w:rFonts w:ascii="Baskerville Old Face" w:eastAsia="Cambria" w:hAnsi="Baskerville Old Face" w:cs="Cambria"/>
          <w:b/>
          <w:bCs/>
          <w:sz w:val="24"/>
          <w:szCs w:val="24"/>
          <w:lang w:val="en-ID"/>
        </w:rPr>
      </w:pPr>
    </w:p>
    <w:p w14:paraId="5C217B4D" w14:textId="77777777" w:rsidR="00DC6E2B" w:rsidRPr="00D47213" w:rsidRDefault="00DC6E2B" w:rsidP="00DC6E2B">
      <w:pPr>
        <w:jc w:val="both"/>
        <w:rPr>
          <w:rFonts w:ascii="Baskerville Old Face" w:eastAsia="Cambria" w:hAnsi="Baskerville Old Face" w:cs="Cambria"/>
          <w:b/>
          <w:bCs/>
          <w:sz w:val="24"/>
          <w:szCs w:val="24"/>
          <w:lang w:val="en-ID"/>
        </w:rPr>
      </w:pPr>
    </w:p>
    <w:p w14:paraId="6650E17F" w14:textId="77777777" w:rsidR="00DC6E2B" w:rsidRPr="00D47213" w:rsidRDefault="00DC6E2B" w:rsidP="00DC6E2B">
      <w:pPr>
        <w:jc w:val="both"/>
        <w:rPr>
          <w:rFonts w:ascii="Baskerville Old Face" w:eastAsia="Cambria" w:hAnsi="Baskerville Old Face" w:cs="Cambria"/>
          <w:b/>
          <w:bCs/>
          <w:sz w:val="24"/>
          <w:szCs w:val="24"/>
          <w:lang w:val="en-ID"/>
        </w:rPr>
      </w:pPr>
    </w:p>
    <w:p w14:paraId="28C7BB79" w14:textId="77777777" w:rsidR="00DC6E2B" w:rsidRPr="00D47213" w:rsidRDefault="00DC6E2B" w:rsidP="00DC6E2B">
      <w:pPr>
        <w:jc w:val="both"/>
        <w:rPr>
          <w:rFonts w:ascii="Baskerville Old Face" w:eastAsia="Cambria" w:hAnsi="Baskerville Old Face" w:cs="Cambria"/>
          <w:b/>
          <w:bCs/>
          <w:sz w:val="24"/>
          <w:szCs w:val="24"/>
          <w:lang w:val="en-ID"/>
        </w:rPr>
      </w:pPr>
    </w:p>
    <w:p w14:paraId="116FC75C" w14:textId="35BAA6B3" w:rsidR="00DC6E2B" w:rsidRPr="00D47213" w:rsidRDefault="00DC6E2B" w:rsidP="00DC6E2B">
      <w:pPr>
        <w:jc w:val="center"/>
        <w:rPr>
          <w:rFonts w:ascii="Baskerville Old Face" w:eastAsia="Cambria" w:hAnsi="Baskerville Old Face" w:cs="Cambria"/>
          <w:sz w:val="24"/>
          <w:szCs w:val="24"/>
          <w:lang w:val="en-ID"/>
        </w:rPr>
      </w:pPr>
      <w:r w:rsidRPr="00D10F08">
        <w:rPr>
          <w:rFonts w:ascii="Baskerville Old Face" w:eastAsia="Cambria" w:hAnsi="Baskerville Old Face" w:cs="Cambria"/>
          <w:b/>
          <w:bCs/>
          <w:sz w:val="24"/>
          <w:szCs w:val="24"/>
          <w:lang w:val="en-ID"/>
        </w:rPr>
        <w:t>Figure 3.</w:t>
      </w:r>
      <w:r w:rsidRPr="00D47213">
        <w:rPr>
          <w:rFonts w:ascii="Baskerville Old Face" w:eastAsia="Cambria" w:hAnsi="Baskerville Old Face" w:cs="Cambria"/>
          <w:sz w:val="24"/>
          <w:szCs w:val="24"/>
          <w:lang w:val="en-ID"/>
        </w:rPr>
        <w:t xml:space="preserve"> Histogram of Learning Quality</w:t>
      </w:r>
    </w:p>
    <w:p w14:paraId="467115AF" w14:textId="77777777" w:rsidR="00D10F08" w:rsidRDefault="00D10F08" w:rsidP="00D10F08">
      <w:pPr>
        <w:ind w:firstLine="567"/>
        <w:jc w:val="both"/>
        <w:rPr>
          <w:rFonts w:ascii="Baskerville Old Face" w:eastAsia="Cambria" w:hAnsi="Baskerville Old Face" w:cs="Cambria"/>
          <w:sz w:val="24"/>
          <w:szCs w:val="24"/>
          <w:lang w:val="en-ID"/>
        </w:rPr>
      </w:pPr>
    </w:p>
    <w:p w14:paraId="1AF001AE" w14:textId="03B1103D"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Based on the results of the normality test using a histogram on the ICT Usage variable, the data distribution pattern formed a bell </w:t>
      </w:r>
      <w:r w:rsidRPr="00D47213">
        <w:rPr>
          <w:rFonts w:ascii="Baskerville Old Face" w:eastAsia="Cambria" w:hAnsi="Baskerville Old Face" w:cs="Cambria"/>
          <w:i/>
          <w:iCs/>
          <w:sz w:val="24"/>
          <w:szCs w:val="24"/>
          <w:lang w:val="en-ID"/>
        </w:rPr>
        <w:t xml:space="preserve">-shaped curve </w:t>
      </w:r>
      <w:r w:rsidRPr="00D47213">
        <w:rPr>
          <w:rFonts w:ascii="Baskerville Old Face" w:eastAsia="Cambria" w:hAnsi="Baskerville Old Face" w:cs="Cambria"/>
          <w:sz w:val="24"/>
          <w:szCs w:val="24"/>
          <w:lang w:val="en-ID"/>
        </w:rPr>
        <w:t xml:space="preserve">and the data distribution looked relatively symmetrical. The data frequency was concentrated at the middle value without any significant extreme deviations. The histogram output showed an average value ( </w:t>
      </w:r>
      <w:r w:rsidRPr="00D47213">
        <w:rPr>
          <w:rFonts w:ascii="Baskerville Old Face" w:eastAsia="Cambria" w:hAnsi="Baskerville Old Face" w:cs="Cambria"/>
          <w:i/>
          <w:iCs/>
          <w:sz w:val="24"/>
          <w:szCs w:val="24"/>
          <w:lang w:val="en-ID"/>
        </w:rPr>
        <w:t>mean</w:t>
      </w:r>
      <w:r w:rsidR="00D10F08">
        <w:rPr>
          <w:rFonts w:ascii="Baskerville Old Face" w:eastAsia="Cambria" w:hAnsi="Baskerville Old Face" w:cs="Cambria"/>
          <w:i/>
          <w:iCs/>
          <w:sz w:val="24"/>
          <w:szCs w:val="24"/>
          <w:lang w:val="en-ID"/>
        </w:rPr>
        <w:t>)</w:t>
      </w:r>
      <w:r w:rsidRPr="00D47213">
        <w:rPr>
          <w:rFonts w:ascii="Baskerville Old Face" w:eastAsia="Cambria" w:hAnsi="Baskerville Old Face" w:cs="Cambria"/>
          <w:sz w:val="24"/>
          <w:szCs w:val="24"/>
          <w:lang w:val="en-ID"/>
        </w:rPr>
        <w:t xml:space="preserve"> of 118.81 with a standard deviation of 6.013 and a total of 102 respondents. Thus, it can be concluded that the ICT Usage variable data is normally distributed so that it meets the assumption of normality and is suitable for use in parametric statistical analysis.</w:t>
      </w:r>
    </w:p>
    <w:p w14:paraId="047D25B7" w14:textId="77777777" w:rsidR="00DC6E2B" w:rsidRPr="00D10F08" w:rsidRDefault="00DC6E2B" w:rsidP="00D10F08">
      <w:pPr>
        <w:numPr>
          <w:ilvl w:val="0"/>
          <w:numId w:val="12"/>
        </w:numPr>
        <w:ind w:left="378"/>
        <w:jc w:val="both"/>
        <w:rPr>
          <w:rFonts w:ascii="Baskerville Old Face" w:eastAsia="Cambria" w:hAnsi="Baskerville Old Face" w:cs="Cambria"/>
          <w:b/>
          <w:bCs/>
          <w:sz w:val="28"/>
          <w:szCs w:val="28"/>
          <w:lang w:val="en-ID"/>
        </w:rPr>
      </w:pPr>
      <w:r w:rsidRPr="00D10F08">
        <w:rPr>
          <w:rFonts w:ascii="Baskerville Old Face" w:eastAsia="Cambria" w:hAnsi="Baskerville Old Face" w:cs="Cambria"/>
          <w:b/>
          <w:bCs/>
          <w:sz w:val="28"/>
          <w:szCs w:val="28"/>
          <w:lang w:val="en-ID"/>
        </w:rPr>
        <w:t>Linearity Test</w:t>
      </w:r>
    </w:p>
    <w:p w14:paraId="62E97543" w14:textId="77777777" w:rsidR="00D10F08" w:rsidRPr="00D10F08" w:rsidRDefault="00D10F08" w:rsidP="00DC6E2B">
      <w:pPr>
        <w:jc w:val="center"/>
        <w:rPr>
          <w:rFonts w:ascii="Baskerville Old Face" w:eastAsia="Cambria" w:hAnsi="Baskerville Old Face" w:cs="Cambria"/>
          <w:sz w:val="12"/>
          <w:szCs w:val="12"/>
        </w:rPr>
      </w:pPr>
    </w:p>
    <w:p w14:paraId="712BAD1B" w14:textId="44DCBA72" w:rsidR="00DC6E2B" w:rsidRPr="00D47213" w:rsidRDefault="00DC6E2B" w:rsidP="00DC6E2B">
      <w:pPr>
        <w:jc w:val="center"/>
        <w:rPr>
          <w:rFonts w:ascii="Baskerville Old Face" w:eastAsia="Cambria" w:hAnsi="Baskerville Old Face" w:cs="Cambria"/>
          <w:sz w:val="24"/>
          <w:szCs w:val="24"/>
        </w:rPr>
      </w:pPr>
      <w:r w:rsidRPr="00D10F08">
        <w:rPr>
          <w:rFonts w:ascii="Baskerville Old Face" w:eastAsia="Cambria" w:hAnsi="Baskerville Old Face" w:cs="Cambria"/>
          <w:b/>
          <w:bCs/>
          <w:sz w:val="24"/>
          <w:szCs w:val="24"/>
        </w:rPr>
        <w:t>Table 7.</w:t>
      </w:r>
      <w:r w:rsidRPr="00D47213">
        <w:rPr>
          <w:rFonts w:ascii="Baskerville Old Face" w:eastAsia="Cambria" w:hAnsi="Baskerville Old Face" w:cs="Cambria"/>
          <w:sz w:val="24"/>
          <w:szCs w:val="24"/>
        </w:rPr>
        <w:t xml:space="preserve"> Linearity test results influence Use of ICT and Quality of Facilities and Infrastructure On the Quality of Learning</w:t>
      </w:r>
    </w:p>
    <w:tbl>
      <w:tblPr>
        <w:tblW w:w="5000" w:type="pct"/>
        <w:jc w:val="center"/>
        <w:tblCellMar>
          <w:left w:w="0" w:type="dxa"/>
          <w:right w:w="0" w:type="dxa"/>
        </w:tblCellMar>
        <w:tblLook w:val="04A0" w:firstRow="1" w:lastRow="0" w:firstColumn="1" w:lastColumn="0" w:noHBand="0" w:noVBand="1"/>
      </w:tblPr>
      <w:tblGrid>
        <w:gridCol w:w="1634"/>
        <w:gridCol w:w="1307"/>
        <w:gridCol w:w="2043"/>
        <w:gridCol w:w="1162"/>
        <w:gridCol w:w="578"/>
        <w:gridCol w:w="1307"/>
        <w:gridCol w:w="725"/>
        <w:gridCol w:w="883"/>
      </w:tblGrid>
      <w:tr w:rsidR="00DC6E2B" w:rsidRPr="00D47213" w14:paraId="2DB733DA" w14:textId="77777777" w:rsidTr="00D10F08">
        <w:trPr>
          <w:cantSplit/>
          <w:trHeight w:val="559"/>
          <w:jc w:val="center"/>
        </w:trPr>
        <w:tc>
          <w:tcPr>
            <w:tcW w:w="2585" w:type="pct"/>
            <w:gridSpan w:val="3"/>
            <w:tcBorders>
              <w:top w:val="single" w:sz="4" w:space="0" w:color="auto"/>
              <w:bottom w:val="single" w:sz="4" w:space="0" w:color="auto"/>
            </w:tcBorders>
            <w:vAlign w:val="center"/>
          </w:tcPr>
          <w:p w14:paraId="7FD72D48" w14:textId="77777777" w:rsidR="00DC6E2B" w:rsidRPr="00D47213" w:rsidRDefault="00DC6E2B" w:rsidP="00D10F08">
            <w:pPr>
              <w:jc w:val="center"/>
              <w:rPr>
                <w:rFonts w:ascii="Baskerville Old Face" w:eastAsia="Cambria" w:hAnsi="Baskerville Old Face" w:cs="Cambria"/>
                <w:sz w:val="24"/>
                <w:szCs w:val="24"/>
                <w:lang w:val="en-ID"/>
              </w:rPr>
            </w:pPr>
          </w:p>
        </w:tc>
        <w:tc>
          <w:tcPr>
            <w:tcW w:w="603" w:type="pct"/>
            <w:tcBorders>
              <w:top w:val="single" w:sz="4" w:space="0" w:color="auto"/>
              <w:bottom w:val="single" w:sz="4" w:space="0" w:color="auto"/>
            </w:tcBorders>
            <w:vAlign w:val="center"/>
            <w:hideMark/>
          </w:tcPr>
          <w:p w14:paraId="7CF1327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Sum of Squares</w:t>
            </w:r>
          </w:p>
        </w:tc>
        <w:tc>
          <w:tcPr>
            <w:tcW w:w="300" w:type="pct"/>
            <w:tcBorders>
              <w:top w:val="single" w:sz="4" w:space="0" w:color="auto"/>
              <w:bottom w:val="single" w:sz="4" w:space="0" w:color="auto"/>
            </w:tcBorders>
            <w:vAlign w:val="center"/>
            <w:hideMark/>
          </w:tcPr>
          <w:p w14:paraId="4C2AF80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df</w:t>
            </w:r>
          </w:p>
        </w:tc>
        <w:tc>
          <w:tcPr>
            <w:tcW w:w="678" w:type="pct"/>
            <w:tcBorders>
              <w:top w:val="single" w:sz="4" w:space="0" w:color="auto"/>
              <w:bottom w:val="single" w:sz="4" w:space="0" w:color="auto"/>
            </w:tcBorders>
            <w:vAlign w:val="center"/>
            <w:hideMark/>
          </w:tcPr>
          <w:p w14:paraId="277AA9F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Mean Square</w:t>
            </w:r>
          </w:p>
        </w:tc>
        <w:tc>
          <w:tcPr>
            <w:tcW w:w="376" w:type="pct"/>
            <w:tcBorders>
              <w:top w:val="single" w:sz="4" w:space="0" w:color="auto"/>
              <w:bottom w:val="single" w:sz="4" w:space="0" w:color="auto"/>
            </w:tcBorders>
            <w:vAlign w:val="center"/>
            <w:hideMark/>
          </w:tcPr>
          <w:p w14:paraId="27D75F1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F</w:t>
            </w:r>
          </w:p>
        </w:tc>
        <w:tc>
          <w:tcPr>
            <w:tcW w:w="458" w:type="pct"/>
            <w:tcBorders>
              <w:top w:val="single" w:sz="4" w:space="0" w:color="auto"/>
              <w:bottom w:val="single" w:sz="4" w:space="0" w:color="auto"/>
            </w:tcBorders>
            <w:vAlign w:val="center"/>
            <w:hideMark/>
          </w:tcPr>
          <w:p w14:paraId="0C68DB7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r>
      <w:tr w:rsidR="00DC6E2B" w:rsidRPr="00D47213" w14:paraId="29511B21" w14:textId="77777777" w:rsidTr="00D10F08">
        <w:trPr>
          <w:cantSplit/>
          <w:trHeight w:val="279"/>
          <w:jc w:val="center"/>
        </w:trPr>
        <w:tc>
          <w:tcPr>
            <w:tcW w:w="847" w:type="pct"/>
            <w:vMerge w:val="restart"/>
            <w:tcBorders>
              <w:top w:val="single" w:sz="4" w:space="0" w:color="auto"/>
            </w:tcBorders>
            <w:vAlign w:val="center"/>
            <w:hideMark/>
          </w:tcPr>
          <w:p w14:paraId="684CF5B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Quality of Learning * Use of ICT</w:t>
            </w:r>
          </w:p>
        </w:tc>
        <w:tc>
          <w:tcPr>
            <w:tcW w:w="678" w:type="pct"/>
            <w:vMerge w:val="restart"/>
            <w:tcBorders>
              <w:top w:val="single" w:sz="4" w:space="0" w:color="auto"/>
            </w:tcBorders>
            <w:vAlign w:val="center"/>
            <w:hideMark/>
          </w:tcPr>
          <w:p w14:paraId="6B7AED7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Between Groups</w:t>
            </w:r>
          </w:p>
        </w:tc>
        <w:tc>
          <w:tcPr>
            <w:tcW w:w="1059" w:type="pct"/>
            <w:tcBorders>
              <w:top w:val="single" w:sz="4" w:space="0" w:color="auto"/>
            </w:tcBorders>
            <w:vAlign w:val="center"/>
            <w:hideMark/>
          </w:tcPr>
          <w:p w14:paraId="65F5618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(Combined)</w:t>
            </w:r>
          </w:p>
        </w:tc>
        <w:tc>
          <w:tcPr>
            <w:tcW w:w="603" w:type="pct"/>
            <w:tcBorders>
              <w:top w:val="single" w:sz="4" w:space="0" w:color="auto"/>
            </w:tcBorders>
            <w:vAlign w:val="center"/>
            <w:hideMark/>
          </w:tcPr>
          <w:p w14:paraId="11AB236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1896,039</w:t>
            </w:r>
          </w:p>
        </w:tc>
        <w:tc>
          <w:tcPr>
            <w:tcW w:w="300" w:type="pct"/>
            <w:tcBorders>
              <w:top w:val="single" w:sz="4" w:space="0" w:color="auto"/>
            </w:tcBorders>
            <w:vAlign w:val="center"/>
            <w:hideMark/>
          </w:tcPr>
          <w:p w14:paraId="6D7AECF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33</w:t>
            </w:r>
          </w:p>
        </w:tc>
        <w:tc>
          <w:tcPr>
            <w:tcW w:w="678" w:type="pct"/>
            <w:tcBorders>
              <w:top w:val="single" w:sz="4" w:space="0" w:color="auto"/>
            </w:tcBorders>
            <w:vAlign w:val="center"/>
            <w:hideMark/>
          </w:tcPr>
          <w:p w14:paraId="1FE13D1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57,456</w:t>
            </w:r>
          </w:p>
        </w:tc>
        <w:tc>
          <w:tcPr>
            <w:tcW w:w="376" w:type="pct"/>
            <w:tcBorders>
              <w:top w:val="single" w:sz="4" w:space="0" w:color="auto"/>
            </w:tcBorders>
            <w:vAlign w:val="center"/>
            <w:hideMark/>
          </w:tcPr>
          <w:p w14:paraId="1EF2276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2,226</w:t>
            </w:r>
          </w:p>
        </w:tc>
        <w:tc>
          <w:tcPr>
            <w:tcW w:w="458" w:type="pct"/>
            <w:tcBorders>
              <w:top w:val="single" w:sz="4" w:space="0" w:color="auto"/>
            </w:tcBorders>
            <w:vAlign w:val="center"/>
            <w:hideMark/>
          </w:tcPr>
          <w:p w14:paraId="4ADD5D4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.003</w:t>
            </w:r>
          </w:p>
        </w:tc>
      </w:tr>
      <w:tr w:rsidR="00DC6E2B" w:rsidRPr="00D47213" w14:paraId="57AC360A" w14:textId="77777777" w:rsidTr="00D10F08">
        <w:trPr>
          <w:cantSplit/>
          <w:trHeight w:val="137"/>
          <w:jc w:val="center"/>
        </w:trPr>
        <w:tc>
          <w:tcPr>
            <w:tcW w:w="847" w:type="pct"/>
            <w:vMerge/>
            <w:vAlign w:val="center"/>
            <w:hideMark/>
          </w:tcPr>
          <w:p w14:paraId="278A97C2" w14:textId="77777777" w:rsidR="00DC6E2B" w:rsidRPr="00D47213" w:rsidRDefault="00DC6E2B" w:rsidP="00D10F08">
            <w:pPr>
              <w:jc w:val="center"/>
              <w:rPr>
                <w:rFonts w:ascii="Baskerville Old Face" w:eastAsia="Cambria" w:hAnsi="Baskerville Old Face" w:cs="Cambria"/>
                <w:sz w:val="24"/>
                <w:szCs w:val="24"/>
                <w:lang w:val="en-ID"/>
              </w:rPr>
            </w:pPr>
          </w:p>
        </w:tc>
        <w:tc>
          <w:tcPr>
            <w:tcW w:w="678" w:type="pct"/>
            <w:vMerge/>
            <w:vAlign w:val="center"/>
            <w:hideMark/>
          </w:tcPr>
          <w:p w14:paraId="0AECADFE" w14:textId="77777777" w:rsidR="00DC6E2B" w:rsidRPr="00D47213" w:rsidRDefault="00DC6E2B" w:rsidP="00D10F08">
            <w:pPr>
              <w:jc w:val="center"/>
              <w:rPr>
                <w:rFonts w:ascii="Baskerville Old Face" w:eastAsia="Cambria" w:hAnsi="Baskerville Old Face" w:cs="Cambria"/>
                <w:sz w:val="24"/>
                <w:szCs w:val="24"/>
                <w:lang w:val="en-ID"/>
              </w:rPr>
            </w:pPr>
          </w:p>
        </w:tc>
        <w:tc>
          <w:tcPr>
            <w:tcW w:w="1059" w:type="pct"/>
            <w:vAlign w:val="center"/>
            <w:hideMark/>
          </w:tcPr>
          <w:p w14:paraId="34DBABD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Linearity</w:t>
            </w:r>
          </w:p>
        </w:tc>
        <w:tc>
          <w:tcPr>
            <w:tcW w:w="603" w:type="pct"/>
            <w:vAlign w:val="center"/>
            <w:hideMark/>
          </w:tcPr>
          <w:p w14:paraId="6A5B096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976,480</w:t>
            </w:r>
          </w:p>
        </w:tc>
        <w:tc>
          <w:tcPr>
            <w:tcW w:w="300" w:type="pct"/>
            <w:vAlign w:val="center"/>
            <w:hideMark/>
          </w:tcPr>
          <w:p w14:paraId="418583A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678" w:type="pct"/>
            <w:vAlign w:val="center"/>
            <w:hideMark/>
          </w:tcPr>
          <w:p w14:paraId="3A18441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976,480</w:t>
            </w:r>
          </w:p>
        </w:tc>
        <w:tc>
          <w:tcPr>
            <w:tcW w:w="376" w:type="pct"/>
            <w:vAlign w:val="center"/>
            <w:hideMark/>
          </w:tcPr>
          <w:p w14:paraId="4FF9A09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37,826</w:t>
            </w:r>
          </w:p>
        </w:tc>
        <w:tc>
          <w:tcPr>
            <w:tcW w:w="458" w:type="pct"/>
            <w:vAlign w:val="center"/>
            <w:hideMark/>
          </w:tcPr>
          <w:p w14:paraId="36939AF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r>
      <w:tr w:rsidR="00DC6E2B" w:rsidRPr="00D47213" w14:paraId="3144C4DA" w14:textId="77777777" w:rsidTr="00D10F08">
        <w:trPr>
          <w:cantSplit/>
          <w:trHeight w:val="137"/>
          <w:jc w:val="center"/>
        </w:trPr>
        <w:tc>
          <w:tcPr>
            <w:tcW w:w="847" w:type="pct"/>
            <w:vMerge/>
            <w:vAlign w:val="center"/>
            <w:hideMark/>
          </w:tcPr>
          <w:p w14:paraId="04A20EB4" w14:textId="77777777" w:rsidR="00DC6E2B" w:rsidRPr="00D47213" w:rsidRDefault="00DC6E2B" w:rsidP="00D10F08">
            <w:pPr>
              <w:jc w:val="center"/>
              <w:rPr>
                <w:rFonts w:ascii="Baskerville Old Face" w:eastAsia="Cambria" w:hAnsi="Baskerville Old Face" w:cs="Cambria"/>
                <w:sz w:val="24"/>
                <w:szCs w:val="24"/>
                <w:lang w:val="en-ID"/>
              </w:rPr>
            </w:pPr>
          </w:p>
        </w:tc>
        <w:tc>
          <w:tcPr>
            <w:tcW w:w="678" w:type="pct"/>
            <w:vMerge/>
            <w:vAlign w:val="center"/>
            <w:hideMark/>
          </w:tcPr>
          <w:p w14:paraId="581AC689" w14:textId="77777777" w:rsidR="00DC6E2B" w:rsidRPr="00D47213" w:rsidRDefault="00DC6E2B" w:rsidP="00D10F08">
            <w:pPr>
              <w:jc w:val="center"/>
              <w:rPr>
                <w:rFonts w:ascii="Baskerville Old Face" w:eastAsia="Cambria" w:hAnsi="Baskerville Old Face" w:cs="Cambria"/>
                <w:sz w:val="24"/>
                <w:szCs w:val="24"/>
                <w:lang w:val="en-ID"/>
              </w:rPr>
            </w:pPr>
          </w:p>
        </w:tc>
        <w:tc>
          <w:tcPr>
            <w:tcW w:w="1059" w:type="pct"/>
            <w:vAlign w:val="center"/>
            <w:hideMark/>
          </w:tcPr>
          <w:p w14:paraId="163F69F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Deviation from Linearity</w:t>
            </w:r>
          </w:p>
        </w:tc>
        <w:tc>
          <w:tcPr>
            <w:tcW w:w="603" w:type="pct"/>
            <w:vAlign w:val="center"/>
            <w:hideMark/>
          </w:tcPr>
          <w:p w14:paraId="19D1B7D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919,559</w:t>
            </w:r>
          </w:p>
        </w:tc>
        <w:tc>
          <w:tcPr>
            <w:tcW w:w="300" w:type="pct"/>
            <w:vAlign w:val="center"/>
            <w:hideMark/>
          </w:tcPr>
          <w:p w14:paraId="1D85D3E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32</w:t>
            </w:r>
          </w:p>
        </w:tc>
        <w:tc>
          <w:tcPr>
            <w:tcW w:w="678" w:type="pct"/>
            <w:vAlign w:val="center"/>
            <w:hideMark/>
          </w:tcPr>
          <w:p w14:paraId="321DF10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28,736</w:t>
            </w:r>
          </w:p>
        </w:tc>
        <w:tc>
          <w:tcPr>
            <w:tcW w:w="376" w:type="pct"/>
            <w:vAlign w:val="center"/>
            <w:hideMark/>
          </w:tcPr>
          <w:p w14:paraId="41B432F2"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1,113</w:t>
            </w:r>
          </w:p>
        </w:tc>
        <w:tc>
          <w:tcPr>
            <w:tcW w:w="458" w:type="pct"/>
            <w:vAlign w:val="center"/>
            <w:hideMark/>
          </w:tcPr>
          <w:p w14:paraId="3913377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.348</w:t>
            </w:r>
          </w:p>
        </w:tc>
      </w:tr>
      <w:tr w:rsidR="00DC6E2B" w:rsidRPr="00D47213" w14:paraId="78DDA2BF" w14:textId="77777777" w:rsidTr="00D10F08">
        <w:trPr>
          <w:cantSplit/>
          <w:trHeight w:val="137"/>
          <w:jc w:val="center"/>
        </w:trPr>
        <w:tc>
          <w:tcPr>
            <w:tcW w:w="847" w:type="pct"/>
            <w:vMerge/>
            <w:vAlign w:val="center"/>
            <w:hideMark/>
          </w:tcPr>
          <w:p w14:paraId="36409E23" w14:textId="77777777" w:rsidR="00DC6E2B" w:rsidRPr="00D47213" w:rsidRDefault="00DC6E2B" w:rsidP="00D10F08">
            <w:pPr>
              <w:jc w:val="center"/>
              <w:rPr>
                <w:rFonts w:ascii="Baskerville Old Face" w:eastAsia="Cambria" w:hAnsi="Baskerville Old Face" w:cs="Cambria"/>
                <w:sz w:val="24"/>
                <w:szCs w:val="24"/>
                <w:lang w:val="en-ID"/>
              </w:rPr>
            </w:pPr>
          </w:p>
        </w:tc>
        <w:tc>
          <w:tcPr>
            <w:tcW w:w="1737" w:type="pct"/>
            <w:gridSpan w:val="2"/>
            <w:vAlign w:val="center"/>
            <w:hideMark/>
          </w:tcPr>
          <w:p w14:paraId="67FF6E5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Within Groups</w:t>
            </w:r>
          </w:p>
        </w:tc>
        <w:tc>
          <w:tcPr>
            <w:tcW w:w="603" w:type="pct"/>
            <w:vAlign w:val="center"/>
            <w:hideMark/>
          </w:tcPr>
          <w:p w14:paraId="4D39FB3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1755,421</w:t>
            </w:r>
          </w:p>
        </w:tc>
        <w:tc>
          <w:tcPr>
            <w:tcW w:w="300" w:type="pct"/>
            <w:vAlign w:val="center"/>
            <w:hideMark/>
          </w:tcPr>
          <w:p w14:paraId="446667F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68</w:t>
            </w:r>
          </w:p>
        </w:tc>
        <w:tc>
          <w:tcPr>
            <w:tcW w:w="678" w:type="pct"/>
            <w:vAlign w:val="center"/>
            <w:hideMark/>
          </w:tcPr>
          <w:p w14:paraId="27AFF89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25,815</w:t>
            </w:r>
          </w:p>
        </w:tc>
        <w:tc>
          <w:tcPr>
            <w:tcW w:w="376" w:type="pct"/>
            <w:vAlign w:val="center"/>
          </w:tcPr>
          <w:p w14:paraId="24E00AED" w14:textId="77777777" w:rsidR="00DC6E2B" w:rsidRPr="00D47213" w:rsidRDefault="00DC6E2B" w:rsidP="00D10F08">
            <w:pPr>
              <w:jc w:val="center"/>
              <w:rPr>
                <w:rFonts w:ascii="Baskerville Old Face" w:eastAsia="Cambria" w:hAnsi="Baskerville Old Face" w:cs="Cambria"/>
                <w:sz w:val="24"/>
                <w:szCs w:val="24"/>
                <w:lang w:val="en-ID"/>
              </w:rPr>
            </w:pPr>
          </w:p>
        </w:tc>
        <w:tc>
          <w:tcPr>
            <w:tcW w:w="458" w:type="pct"/>
            <w:vAlign w:val="center"/>
          </w:tcPr>
          <w:p w14:paraId="420FF2AD" w14:textId="77777777" w:rsidR="00DC6E2B" w:rsidRPr="00D47213" w:rsidRDefault="00DC6E2B" w:rsidP="00D10F08">
            <w:pPr>
              <w:jc w:val="center"/>
              <w:rPr>
                <w:rFonts w:ascii="Baskerville Old Face" w:eastAsia="Cambria" w:hAnsi="Baskerville Old Face" w:cs="Cambria"/>
                <w:sz w:val="24"/>
                <w:szCs w:val="24"/>
                <w:lang w:val="en-ID"/>
              </w:rPr>
            </w:pPr>
          </w:p>
        </w:tc>
      </w:tr>
      <w:tr w:rsidR="00DC6E2B" w:rsidRPr="00D47213" w14:paraId="083C6CB8" w14:textId="77777777" w:rsidTr="00D10F08">
        <w:trPr>
          <w:cantSplit/>
          <w:trHeight w:val="137"/>
          <w:jc w:val="center"/>
        </w:trPr>
        <w:tc>
          <w:tcPr>
            <w:tcW w:w="847" w:type="pct"/>
            <w:vMerge/>
            <w:tcBorders>
              <w:bottom w:val="single" w:sz="4" w:space="0" w:color="auto"/>
            </w:tcBorders>
            <w:vAlign w:val="center"/>
            <w:hideMark/>
          </w:tcPr>
          <w:p w14:paraId="69B979A9" w14:textId="77777777" w:rsidR="00DC6E2B" w:rsidRPr="00D47213" w:rsidRDefault="00DC6E2B" w:rsidP="00D10F08">
            <w:pPr>
              <w:jc w:val="center"/>
              <w:rPr>
                <w:rFonts w:ascii="Baskerville Old Face" w:eastAsia="Cambria" w:hAnsi="Baskerville Old Face" w:cs="Cambria"/>
                <w:sz w:val="24"/>
                <w:szCs w:val="24"/>
                <w:lang w:val="en-ID"/>
              </w:rPr>
            </w:pPr>
          </w:p>
        </w:tc>
        <w:tc>
          <w:tcPr>
            <w:tcW w:w="1737" w:type="pct"/>
            <w:gridSpan w:val="2"/>
            <w:tcBorders>
              <w:bottom w:val="single" w:sz="4" w:space="0" w:color="auto"/>
            </w:tcBorders>
            <w:vAlign w:val="center"/>
            <w:hideMark/>
          </w:tcPr>
          <w:p w14:paraId="0B7D4767"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Total</w:t>
            </w:r>
          </w:p>
        </w:tc>
        <w:tc>
          <w:tcPr>
            <w:tcW w:w="603" w:type="pct"/>
            <w:tcBorders>
              <w:bottom w:val="single" w:sz="4" w:space="0" w:color="auto"/>
            </w:tcBorders>
            <w:vAlign w:val="center"/>
            <w:hideMark/>
          </w:tcPr>
          <w:p w14:paraId="6028E952"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3651.461</w:t>
            </w:r>
          </w:p>
        </w:tc>
        <w:tc>
          <w:tcPr>
            <w:tcW w:w="300" w:type="pct"/>
            <w:tcBorders>
              <w:bottom w:val="single" w:sz="4" w:space="0" w:color="auto"/>
            </w:tcBorders>
            <w:vAlign w:val="center"/>
            <w:hideMark/>
          </w:tcPr>
          <w:p w14:paraId="1C8BE3C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101</w:t>
            </w:r>
          </w:p>
        </w:tc>
        <w:tc>
          <w:tcPr>
            <w:tcW w:w="678" w:type="pct"/>
            <w:tcBorders>
              <w:bottom w:val="single" w:sz="4" w:space="0" w:color="auto"/>
            </w:tcBorders>
            <w:vAlign w:val="center"/>
          </w:tcPr>
          <w:p w14:paraId="3DAD2B58" w14:textId="77777777" w:rsidR="00DC6E2B" w:rsidRPr="00D47213" w:rsidRDefault="00DC6E2B" w:rsidP="00D10F08">
            <w:pPr>
              <w:jc w:val="center"/>
              <w:rPr>
                <w:rFonts w:ascii="Baskerville Old Face" w:eastAsia="Cambria" w:hAnsi="Baskerville Old Face" w:cs="Cambria"/>
                <w:sz w:val="24"/>
                <w:szCs w:val="24"/>
                <w:lang w:val="en-ID"/>
              </w:rPr>
            </w:pPr>
          </w:p>
        </w:tc>
        <w:tc>
          <w:tcPr>
            <w:tcW w:w="376" w:type="pct"/>
            <w:tcBorders>
              <w:bottom w:val="single" w:sz="4" w:space="0" w:color="auto"/>
            </w:tcBorders>
            <w:vAlign w:val="center"/>
          </w:tcPr>
          <w:p w14:paraId="3764ACB4" w14:textId="77777777" w:rsidR="00DC6E2B" w:rsidRPr="00D47213" w:rsidRDefault="00DC6E2B" w:rsidP="00D10F08">
            <w:pPr>
              <w:jc w:val="center"/>
              <w:rPr>
                <w:rFonts w:ascii="Baskerville Old Face" w:eastAsia="Cambria" w:hAnsi="Baskerville Old Face" w:cs="Cambria"/>
                <w:sz w:val="24"/>
                <w:szCs w:val="24"/>
                <w:lang w:val="en-ID"/>
              </w:rPr>
            </w:pPr>
          </w:p>
        </w:tc>
        <w:tc>
          <w:tcPr>
            <w:tcW w:w="458" w:type="pct"/>
            <w:tcBorders>
              <w:bottom w:val="single" w:sz="4" w:space="0" w:color="auto"/>
            </w:tcBorders>
            <w:vAlign w:val="center"/>
          </w:tcPr>
          <w:p w14:paraId="2C425826" w14:textId="77777777" w:rsidR="00DC6E2B" w:rsidRPr="00D47213" w:rsidRDefault="00DC6E2B" w:rsidP="00D10F08">
            <w:pPr>
              <w:jc w:val="center"/>
              <w:rPr>
                <w:rFonts w:ascii="Baskerville Old Face" w:eastAsia="Cambria" w:hAnsi="Baskerville Old Face" w:cs="Cambria"/>
                <w:sz w:val="24"/>
                <w:szCs w:val="24"/>
                <w:lang w:val="en-ID"/>
              </w:rPr>
            </w:pPr>
          </w:p>
        </w:tc>
      </w:tr>
    </w:tbl>
    <w:p w14:paraId="11238A31" w14:textId="77777777" w:rsidR="00DC6E2B" w:rsidRPr="00D47213" w:rsidRDefault="00DC6E2B" w:rsidP="00DC6E2B">
      <w:pPr>
        <w:jc w:val="both"/>
        <w:rPr>
          <w:rFonts w:ascii="Baskerville Old Face" w:eastAsia="Cambria" w:hAnsi="Baskerville Old Face" w:cs="Cambria"/>
          <w:sz w:val="24"/>
          <w:szCs w:val="24"/>
          <w:lang w:val="en-ID"/>
        </w:rPr>
      </w:pPr>
    </w:p>
    <w:p w14:paraId="0591BC7F" w14:textId="1324EE01" w:rsidR="00DC6E2B"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Based on linearity test results said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relationship between ICT use and quality learning can stated to be linear and significant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is indicated by the Linearity value of </w:t>
      </w:r>
      <w:r w:rsidRPr="00D47213">
        <w:rPr>
          <w:rFonts w:ascii="Baskerville Old Face" w:eastAsia="Cambria" w:hAnsi="Baskerville Old Face" w:cs="Cambria"/>
          <w:i/>
          <w:iCs/>
          <w:sz w:val="24"/>
          <w:szCs w:val="24"/>
          <w:lang w:val="en-ID"/>
        </w:rPr>
        <w:t xml:space="preserve">F </w:t>
      </w:r>
      <w:r w:rsidRPr="00D47213">
        <w:rPr>
          <w:rFonts w:ascii="Baskerville Old Face" w:eastAsia="Cambria" w:hAnsi="Baskerville Old Face" w:cs="Cambria"/>
          <w:sz w:val="24"/>
          <w:szCs w:val="24"/>
          <w:lang w:val="en-ID"/>
        </w:rPr>
        <w:t>= 37.826 with significance = 0.000, which means pattern connection second variables follow a straight line in a way convincing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On the other hand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Deviation from Linearity value is </w:t>
      </w:r>
      <w:r w:rsidRPr="00D47213">
        <w:rPr>
          <w:rFonts w:ascii="Baskerville Old Face" w:eastAsia="Cambria" w:hAnsi="Baskerville Old Face" w:cs="Cambria"/>
          <w:i/>
          <w:iCs/>
          <w:sz w:val="24"/>
          <w:szCs w:val="24"/>
          <w:lang w:val="en-ID"/>
        </w:rPr>
        <w:t xml:space="preserve">F </w:t>
      </w:r>
      <w:r w:rsidRPr="00D47213">
        <w:rPr>
          <w:rFonts w:ascii="Baskerville Old Face" w:eastAsia="Cambria" w:hAnsi="Baskerville Old Face" w:cs="Cambria"/>
          <w:sz w:val="24"/>
          <w:szCs w:val="24"/>
          <w:lang w:val="en-ID"/>
        </w:rPr>
        <w:t>= 1.113 with significance = 0.348 shows that deviation from a straight line No significant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means that the relationship between ICT use and quality learning No show deviant pattern</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in a way means from linearity</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so that linear assumption in analysis advanced can accepted</w:t>
      </w:r>
      <w:r w:rsidR="00D10F08">
        <w:rPr>
          <w:rFonts w:ascii="Baskerville Old Face" w:eastAsia="Cambria" w:hAnsi="Baskerville Old Face" w:cs="Cambria"/>
          <w:sz w:val="24"/>
          <w:szCs w:val="24"/>
          <w:lang w:val="en-ID"/>
        </w:rPr>
        <w:t>.</w:t>
      </w:r>
    </w:p>
    <w:p w14:paraId="42F90763" w14:textId="77777777" w:rsidR="00DC6E2B" w:rsidRPr="00D10F08" w:rsidRDefault="00DC6E2B" w:rsidP="00D10F08">
      <w:pPr>
        <w:numPr>
          <w:ilvl w:val="0"/>
          <w:numId w:val="12"/>
        </w:numPr>
        <w:ind w:left="378"/>
        <w:jc w:val="both"/>
        <w:rPr>
          <w:rFonts w:ascii="Baskerville Old Face" w:eastAsia="Cambria" w:hAnsi="Baskerville Old Face" w:cs="Cambria"/>
          <w:b/>
          <w:bCs/>
          <w:sz w:val="28"/>
          <w:szCs w:val="28"/>
          <w:lang w:val="en-ID"/>
        </w:rPr>
      </w:pPr>
      <w:r w:rsidRPr="00D10F08">
        <w:rPr>
          <w:rFonts w:ascii="Baskerville Old Face" w:eastAsia="Cambria" w:hAnsi="Baskerville Old Face" w:cs="Cambria"/>
          <w:b/>
          <w:bCs/>
          <w:sz w:val="28"/>
          <w:szCs w:val="28"/>
          <w:lang w:val="en-ID"/>
        </w:rPr>
        <w:t>Multicollinearity Test</w:t>
      </w:r>
    </w:p>
    <w:p w14:paraId="5C51DBC8" w14:textId="77777777" w:rsidR="00D10F08" w:rsidRPr="00D10F08" w:rsidRDefault="00D10F08" w:rsidP="00DC6E2B">
      <w:pPr>
        <w:jc w:val="center"/>
        <w:rPr>
          <w:rFonts w:ascii="Baskerville Old Face" w:eastAsia="Cambria" w:hAnsi="Baskerville Old Face" w:cs="Cambria"/>
          <w:sz w:val="12"/>
          <w:szCs w:val="12"/>
        </w:rPr>
      </w:pPr>
    </w:p>
    <w:p w14:paraId="65F12AC4" w14:textId="577FC914" w:rsidR="00DC6E2B" w:rsidRPr="00D47213" w:rsidRDefault="00DC6E2B" w:rsidP="00DC6E2B">
      <w:pPr>
        <w:jc w:val="center"/>
        <w:rPr>
          <w:rFonts w:ascii="Baskerville Old Face" w:eastAsia="Cambria" w:hAnsi="Baskerville Old Face" w:cs="Cambria"/>
          <w:sz w:val="24"/>
          <w:szCs w:val="24"/>
        </w:rPr>
      </w:pPr>
      <w:r w:rsidRPr="00D10F08">
        <w:rPr>
          <w:rFonts w:ascii="Baskerville Old Face" w:eastAsia="Cambria" w:hAnsi="Baskerville Old Face" w:cs="Cambria"/>
          <w:b/>
          <w:bCs/>
          <w:sz w:val="24"/>
          <w:szCs w:val="24"/>
        </w:rPr>
        <w:t>Table 8.</w:t>
      </w:r>
      <w:r w:rsidRPr="00D47213">
        <w:rPr>
          <w:rFonts w:ascii="Baskerville Old Face" w:eastAsia="Cambria" w:hAnsi="Baskerville Old Face" w:cs="Cambria"/>
          <w:sz w:val="24"/>
          <w:szCs w:val="24"/>
        </w:rPr>
        <w:t xml:space="preserve"> Multicollinearity Test Results influence Use of ICT and Quality of Facilities and Infrastructure On the Quality of Learning</w:t>
      </w:r>
    </w:p>
    <w:tbl>
      <w:tblPr>
        <w:tblW w:w="5000" w:type="pct"/>
        <w:tblCellMar>
          <w:left w:w="0" w:type="dxa"/>
          <w:right w:w="0" w:type="dxa"/>
        </w:tblCellMar>
        <w:tblLook w:val="04A0" w:firstRow="1" w:lastRow="0" w:firstColumn="1" w:lastColumn="0" w:noHBand="0" w:noVBand="1"/>
      </w:tblPr>
      <w:tblGrid>
        <w:gridCol w:w="379"/>
        <w:gridCol w:w="1789"/>
        <w:gridCol w:w="1028"/>
        <w:gridCol w:w="1149"/>
        <w:gridCol w:w="1668"/>
        <w:gridCol w:w="628"/>
        <w:gridCol w:w="717"/>
        <w:gridCol w:w="1367"/>
        <w:gridCol w:w="914"/>
      </w:tblGrid>
      <w:tr w:rsidR="00DC6E2B" w:rsidRPr="00D47213" w14:paraId="37DAD4C6" w14:textId="77777777" w:rsidTr="005144C4">
        <w:trPr>
          <w:cantSplit/>
          <w:trHeight w:val="412"/>
        </w:trPr>
        <w:tc>
          <w:tcPr>
            <w:tcW w:w="1125" w:type="pct"/>
            <w:gridSpan w:val="2"/>
            <w:vMerge w:val="restart"/>
            <w:tcBorders>
              <w:top w:val="single" w:sz="4" w:space="0" w:color="auto"/>
              <w:bottom w:val="single" w:sz="4" w:space="0" w:color="auto"/>
            </w:tcBorders>
            <w:vAlign w:val="center"/>
            <w:hideMark/>
          </w:tcPr>
          <w:p w14:paraId="440839A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1129" w:type="pct"/>
            <w:gridSpan w:val="2"/>
            <w:tcBorders>
              <w:top w:val="single" w:sz="4" w:space="0" w:color="auto"/>
              <w:bottom w:val="single" w:sz="4" w:space="0" w:color="auto"/>
            </w:tcBorders>
            <w:vAlign w:val="center"/>
            <w:hideMark/>
          </w:tcPr>
          <w:p w14:paraId="0A99148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Unstandardized Coefficients</w:t>
            </w:r>
          </w:p>
        </w:tc>
        <w:tc>
          <w:tcPr>
            <w:tcW w:w="865" w:type="pct"/>
            <w:tcBorders>
              <w:top w:val="single" w:sz="4" w:space="0" w:color="auto"/>
              <w:bottom w:val="single" w:sz="4" w:space="0" w:color="auto"/>
            </w:tcBorders>
            <w:vAlign w:val="center"/>
            <w:hideMark/>
          </w:tcPr>
          <w:p w14:paraId="2DB4B2B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Standardized Coefficients</w:t>
            </w:r>
          </w:p>
        </w:tc>
        <w:tc>
          <w:tcPr>
            <w:tcW w:w="326" w:type="pct"/>
            <w:tcBorders>
              <w:top w:val="single" w:sz="4" w:space="0" w:color="auto"/>
              <w:bottom w:val="single" w:sz="4" w:space="0" w:color="auto"/>
            </w:tcBorders>
            <w:vAlign w:val="center"/>
            <w:hideMark/>
          </w:tcPr>
          <w:p w14:paraId="0838069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w:t>
            </w:r>
          </w:p>
        </w:tc>
        <w:tc>
          <w:tcPr>
            <w:tcW w:w="372" w:type="pct"/>
            <w:tcBorders>
              <w:top w:val="single" w:sz="4" w:space="0" w:color="auto"/>
              <w:bottom w:val="single" w:sz="4" w:space="0" w:color="auto"/>
            </w:tcBorders>
            <w:vAlign w:val="center"/>
            <w:hideMark/>
          </w:tcPr>
          <w:p w14:paraId="6862BED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c>
          <w:tcPr>
            <w:tcW w:w="1183" w:type="pct"/>
            <w:gridSpan w:val="2"/>
            <w:tcBorders>
              <w:top w:val="single" w:sz="4" w:space="0" w:color="auto"/>
              <w:bottom w:val="single" w:sz="4" w:space="0" w:color="auto"/>
            </w:tcBorders>
            <w:vAlign w:val="center"/>
            <w:hideMark/>
          </w:tcPr>
          <w:p w14:paraId="2F3FA64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Collinearity Statistics</w:t>
            </w:r>
          </w:p>
        </w:tc>
      </w:tr>
      <w:tr w:rsidR="00DC6E2B" w:rsidRPr="00D47213" w14:paraId="7F172497" w14:textId="77777777" w:rsidTr="005144C4">
        <w:trPr>
          <w:cantSplit/>
          <w:trHeight w:val="101"/>
        </w:trPr>
        <w:tc>
          <w:tcPr>
            <w:tcW w:w="1125" w:type="pct"/>
            <w:gridSpan w:val="2"/>
            <w:vMerge/>
            <w:tcBorders>
              <w:top w:val="single" w:sz="4" w:space="0" w:color="auto"/>
              <w:bottom w:val="single" w:sz="4" w:space="0" w:color="auto"/>
            </w:tcBorders>
            <w:vAlign w:val="center"/>
            <w:hideMark/>
          </w:tcPr>
          <w:p w14:paraId="612187BE" w14:textId="77777777" w:rsidR="00DC6E2B" w:rsidRPr="00D47213" w:rsidRDefault="00DC6E2B" w:rsidP="00D10F08">
            <w:pPr>
              <w:jc w:val="center"/>
              <w:rPr>
                <w:rFonts w:ascii="Baskerville Old Face" w:eastAsia="Cambria" w:hAnsi="Baskerville Old Face" w:cs="Cambria"/>
                <w:sz w:val="24"/>
                <w:szCs w:val="24"/>
                <w:lang w:val="en-ID"/>
              </w:rPr>
            </w:pPr>
          </w:p>
        </w:tc>
        <w:tc>
          <w:tcPr>
            <w:tcW w:w="533" w:type="pct"/>
            <w:tcBorders>
              <w:top w:val="single" w:sz="4" w:space="0" w:color="auto"/>
              <w:bottom w:val="single" w:sz="4" w:space="0" w:color="auto"/>
            </w:tcBorders>
            <w:vAlign w:val="center"/>
            <w:hideMark/>
          </w:tcPr>
          <w:p w14:paraId="5E617FB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w:t>
            </w:r>
          </w:p>
        </w:tc>
        <w:tc>
          <w:tcPr>
            <w:tcW w:w="596" w:type="pct"/>
            <w:tcBorders>
              <w:top w:val="single" w:sz="4" w:space="0" w:color="auto"/>
              <w:bottom w:val="single" w:sz="4" w:space="0" w:color="auto"/>
            </w:tcBorders>
            <w:vAlign w:val="center"/>
            <w:hideMark/>
          </w:tcPr>
          <w:p w14:paraId="5D6DFE8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Std. Error</w:t>
            </w:r>
          </w:p>
        </w:tc>
        <w:tc>
          <w:tcPr>
            <w:tcW w:w="865" w:type="pct"/>
            <w:tcBorders>
              <w:top w:val="single" w:sz="4" w:space="0" w:color="auto"/>
              <w:bottom w:val="single" w:sz="4" w:space="0" w:color="auto"/>
            </w:tcBorders>
            <w:vAlign w:val="center"/>
            <w:hideMark/>
          </w:tcPr>
          <w:p w14:paraId="5FC95EF9"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Beta</w:t>
            </w:r>
          </w:p>
        </w:tc>
        <w:tc>
          <w:tcPr>
            <w:tcW w:w="326" w:type="pct"/>
            <w:tcBorders>
              <w:top w:val="single" w:sz="4" w:space="0" w:color="auto"/>
              <w:bottom w:val="single" w:sz="4" w:space="0" w:color="auto"/>
            </w:tcBorders>
            <w:vAlign w:val="center"/>
          </w:tcPr>
          <w:p w14:paraId="4B4D5491" w14:textId="77777777" w:rsidR="00DC6E2B" w:rsidRPr="00D47213" w:rsidRDefault="00DC6E2B" w:rsidP="00D10F08">
            <w:pPr>
              <w:jc w:val="center"/>
              <w:rPr>
                <w:rFonts w:ascii="Baskerville Old Face" w:eastAsia="Cambria" w:hAnsi="Baskerville Old Face" w:cs="Cambria"/>
                <w:sz w:val="24"/>
                <w:szCs w:val="24"/>
                <w:lang w:val="en-ID"/>
              </w:rPr>
            </w:pPr>
          </w:p>
        </w:tc>
        <w:tc>
          <w:tcPr>
            <w:tcW w:w="372" w:type="pct"/>
            <w:tcBorders>
              <w:top w:val="single" w:sz="4" w:space="0" w:color="auto"/>
              <w:bottom w:val="single" w:sz="4" w:space="0" w:color="auto"/>
            </w:tcBorders>
            <w:vAlign w:val="center"/>
          </w:tcPr>
          <w:p w14:paraId="70B21DE8" w14:textId="77777777" w:rsidR="00DC6E2B" w:rsidRPr="00D47213" w:rsidRDefault="00DC6E2B" w:rsidP="00D10F08">
            <w:pPr>
              <w:jc w:val="center"/>
              <w:rPr>
                <w:rFonts w:ascii="Baskerville Old Face" w:eastAsia="Cambria" w:hAnsi="Baskerville Old Face" w:cs="Cambria"/>
                <w:sz w:val="24"/>
                <w:szCs w:val="24"/>
                <w:lang w:val="en-ID"/>
              </w:rPr>
            </w:pPr>
          </w:p>
        </w:tc>
        <w:tc>
          <w:tcPr>
            <w:tcW w:w="709" w:type="pct"/>
            <w:tcBorders>
              <w:top w:val="single" w:sz="4" w:space="0" w:color="auto"/>
              <w:bottom w:val="single" w:sz="4" w:space="0" w:color="auto"/>
            </w:tcBorders>
            <w:vAlign w:val="center"/>
            <w:hideMark/>
          </w:tcPr>
          <w:p w14:paraId="7C32484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Tolerance</w:t>
            </w:r>
          </w:p>
        </w:tc>
        <w:tc>
          <w:tcPr>
            <w:tcW w:w="474" w:type="pct"/>
            <w:tcBorders>
              <w:top w:val="single" w:sz="4" w:space="0" w:color="auto"/>
              <w:bottom w:val="single" w:sz="4" w:space="0" w:color="auto"/>
            </w:tcBorders>
            <w:vAlign w:val="center"/>
            <w:hideMark/>
          </w:tcPr>
          <w:p w14:paraId="300D08C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VIF</w:t>
            </w:r>
          </w:p>
        </w:tc>
      </w:tr>
      <w:tr w:rsidR="00DC6E2B" w:rsidRPr="00D47213" w14:paraId="57B2356F" w14:textId="77777777" w:rsidTr="005144C4">
        <w:trPr>
          <w:cantSplit/>
          <w:trHeight w:val="205"/>
        </w:trPr>
        <w:tc>
          <w:tcPr>
            <w:tcW w:w="197" w:type="pct"/>
            <w:vMerge w:val="restart"/>
            <w:tcBorders>
              <w:top w:val="single" w:sz="4" w:space="0" w:color="auto"/>
            </w:tcBorders>
            <w:vAlign w:val="center"/>
            <w:hideMark/>
          </w:tcPr>
          <w:p w14:paraId="35E3B4A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lastRenderedPageBreak/>
              <w:t>1</w:t>
            </w:r>
          </w:p>
        </w:tc>
        <w:tc>
          <w:tcPr>
            <w:tcW w:w="928" w:type="pct"/>
            <w:tcBorders>
              <w:top w:val="single" w:sz="4" w:space="0" w:color="auto"/>
            </w:tcBorders>
            <w:vAlign w:val="center"/>
            <w:hideMark/>
          </w:tcPr>
          <w:p w14:paraId="7B9772E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(Constant)</w:t>
            </w:r>
          </w:p>
        </w:tc>
        <w:tc>
          <w:tcPr>
            <w:tcW w:w="533" w:type="pct"/>
            <w:tcBorders>
              <w:top w:val="single" w:sz="4" w:space="0" w:color="auto"/>
            </w:tcBorders>
            <w:vAlign w:val="center"/>
            <w:hideMark/>
          </w:tcPr>
          <w:p w14:paraId="7C2076F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43,411</w:t>
            </w:r>
          </w:p>
        </w:tc>
        <w:tc>
          <w:tcPr>
            <w:tcW w:w="596" w:type="pct"/>
            <w:tcBorders>
              <w:top w:val="single" w:sz="4" w:space="0" w:color="auto"/>
            </w:tcBorders>
            <w:vAlign w:val="center"/>
            <w:hideMark/>
          </w:tcPr>
          <w:p w14:paraId="047FBFD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9,216</w:t>
            </w:r>
          </w:p>
        </w:tc>
        <w:tc>
          <w:tcPr>
            <w:tcW w:w="865" w:type="pct"/>
            <w:tcBorders>
              <w:top w:val="single" w:sz="4" w:space="0" w:color="auto"/>
            </w:tcBorders>
            <w:vAlign w:val="center"/>
          </w:tcPr>
          <w:p w14:paraId="33EE5452" w14:textId="77777777" w:rsidR="00DC6E2B" w:rsidRPr="00D47213" w:rsidRDefault="00DC6E2B" w:rsidP="00D10F08">
            <w:pPr>
              <w:jc w:val="center"/>
              <w:rPr>
                <w:rFonts w:ascii="Baskerville Old Face" w:eastAsia="Cambria" w:hAnsi="Baskerville Old Face" w:cs="Cambria"/>
                <w:sz w:val="24"/>
                <w:szCs w:val="24"/>
                <w:lang w:val="en-ID"/>
              </w:rPr>
            </w:pPr>
          </w:p>
        </w:tc>
        <w:tc>
          <w:tcPr>
            <w:tcW w:w="326" w:type="pct"/>
            <w:tcBorders>
              <w:top w:val="single" w:sz="4" w:space="0" w:color="auto"/>
            </w:tcBorders>
            <w:vAlign w:val="center"/>
            <w:hideMark/>
          </w:tcPr>
          <w:p w14:paraId="5925ABB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4,711</w:t>
            </w:r>
          </w:p>
        </w:tc>
        <w:tc>
          <w:tcPr>
            <w:tcW w:w="372" w:type="pct"/>
            <w:tcBorders>
              <w:top w:val="single" w:sz="4" w:space="0" w:color="auto"/>
            </w:tcBorders>
            <w:vAlign w:val="center"/>
            <w:hideMark/>
          </w:tcPr>
          <w:p w14:paraId="153AB60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709" w:type="pct"/>
            <w:tcBorders>
              <w:top w:val="single" w:sz="4" w:space="0" w:color="auto"/>
            </w:tcBorders>
            <w:vAlign w:val="center"/>
          </w:tcPr>
          <w:p w14:paraId="0866C746" w14:textId="77777777" w:rsidR="00DC6E2B" w:rsidRPr="00D47213" w:rsidRDefault="00DC6E2B" w:rsidP="00D10F08">
            <w:pPr>
              <w:jc w:val="center"/>
              <w:rPr>
                <w:rFonts w:ascii="Baskerville Old Face" w:eastAsia="Cambria" w:hAnsi="Baskerville Old Face" w:cs="Cambria"/>
                <w:sz w:val="24"/>
                <w:szCs w:val="24"/>
                <w:lang w:val="en-ID"/>
              </w:rPr>
            </w:pPr>
          </w:p>
        </w:tc>
        <w:tc>
          <w:tcPr>
            <w:tcW w:w="474" w:type="pct"/>
            <w:tcBorders>
              <w:top w:val="single" w:sz="4" w:space="0" w:color="auto"/>
            </w:tcBorders>
            <w:vAlign w:val="center"/>
          </w:tcPr>
          <w:p w14:paraId="69F784E5" w14:textId="77777777" w:rsidR="00DC6E2B" w:rsidRPr="00D47213" w:rsidRDefault="00DC6E2B" w:rsidP="00D10F08">
            <w:pPr>
              <w:jc w:val="center"/>
              <w:rPr>
                <w:rFonts w:ascii="Baskerville Old Face" w:eastAsia="Cambria" w:hAnsi="Baskerville Old Face" w:cs="Cambria"/>
                <w:sz w:val="24"/>
                <w:szCs w:val="24"/>
                <w:lang w:val="en-ID"/>
              </w:rPr>
            </w:pPr>
          </w:p>
        </w:tc>
      </w:tr>
      <w:tr w:rsidR="00DC6E2B" w:rsidRPr="00D47213" w14:paraId="48C4B81B" w14:textId="77777777" w:rsidTr="005144C4">
        <w:trPr>
          <w:cantSplit/>
          <w:trHeight w:val="101"/>
        </w:trPr>
        <w:tc>
          <w:tcPr>
            <w:tcW w:w="197" w:type="pct"/>
            <w:vMerge/>
            <w:vAlign w:val="center"/>
            <w:hideMark/>
          </w:tcPr>
          <w:p w14:paraId="6AB8C0E8" w14:textId="77777777" w:rsidR="00DC6E2B" w:rsidRPr="00D47213" w:rsidRDefault="00DC6E2B" w:rsidP="00D10F08">
            <w:pPr>
              <w:jc w:val="center"/>
              <w:rPr>
                <w:rFonts w:ascii="Baskerville Old Face" w:eastAsia="Cambria" w:hAnsi="Baskerville Old Face" w:cs="Cambria"/>
                <w:sz w:val="24"/>
                <w:szCs w:val="24"/>
                <w:lang w:val="en-ID"/>
              </w:rPr>
            </w:pPr>
          </w:p>
        </w:tc>
        <w:tc>
          <w:tcPr>
            <w:tcW w:w="928" w:type="pct"/>
            <w:vAlign w:val="center"/>
            <w:hideMark/>
          </w:tcPr>
          <w:p w14:paraId="4CCD7F77"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Use of ICT</w:t>
            </w:r>
          </w:p>
        </w:tc>
        <w:tc>
          <w:tcPr>
            <w:tcW w:w="533" w:type="pct"/>
            <w:vAlign w:val="center"/>
            <w:hideMark/>
          </w:tcPr>
          <w:p w14:paraId="029FC36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.367</w:t>
            </w:r>
          </w:p>
        </w:tc>
        <w:tc>
          <w:tcPr>
            <w:tcW w:w="596" w:type="pct"/>
            <w:vAlign w:val="center"/>
            <w:hideMark/>
          </w:tcPr>
          <w:p w14:paraId="4617678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.054</w:t>
            </w:r>
          </w:p>
        </w:tc>
        <w:tc>
          <w:tcPr>
            <w:tcW w:w="865" w:type="pct"/>
            <w:vAlign w:val="center"/>
            <w:hideMark/>
          </w:tcPr>
          <w:p w14:paraId="0AECB47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.518</w:t>
            </w:r>
          </w:p>
        </w:tc>
        <w:tc>
          <w:tcPr>
            <w:tcW w:w="326" w:type="pct"/>
            <w:vAlign w:val="center"/>
            <w:hideMark/>
          </w:tcPr>
          <w:p w14:paraId="35D31537"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6,755</w:t>
            </w:r>
          </w:p>
        </w:tc>
        <w:tc>
          <w:tcPr>
            <w:tcW w:w="372" w:type="pct"/>
            <w:vAlign w:val="center"/>
            <w:hideMark/>
          </w:tcPr>
          <w:p w14:paraId="7DE1A15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709" w:type="pct"/>
            <w:vAlign w:val="center"/>
            <w:hideMark/>
          </w:tcPr>
          <w:p w14:paraId="53F86A7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c>
          <w:tcPr>
            <w:tcW w:w="474" w:type="pct"/>
            <w:vAlign w:val="center"/>
            <w:hideMark/>
          </w:tcPr>
          <w:p w14:paraId="7C183C0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r>
      <w:tr w:rsidR="00DC6E2B" w:rsidRPr="00D47213" w14:paraId="43E6F7C8" w14:textId="77777777" w:rsidTr="005144C4">
        <w:trPr>
          <w:cantSplit/>
          <w:trHeight w:val="101"/>
        </w:trPr>
        <w:tc>
          <w:tcPr>
            <w:tcW w:w="197" w:type="pct"/>
            <w:vMerge/>
            <w:tcBorders>
              <w:bottom w:val="single" w:sz="4" w:space="0" w:color="auto"/>
            </w:tcBorders>
            <w:vAlign w:val="center"/>
            <w:hideMark/>
          </w:tcPr>
          <w:p w14:paraId="3DD7C78A" w14:textId="77777777" w:rsidR="00DC6E2B" w:rsidRPr="00D47213" w:rsidRDefault="00DC6E2B" w:rsidP="00D10F08">
            <w:pPr>
              <w:jc w:val="center"/>
              <w:rPr>
                <w:rFonts w:ascii="Baskerville Old Face" w:eastAsia="Cambria" w:hAnsi="Baskerville Old Face" w:cs="Cambria"/>
                <w:sz w:val="24"/>
                <w:szCs w:val="24"/>
                <w:lang w:val="en-ID"/>
              </w:rPr>
            </w:pPr>
          </w:p>
        </w:tc>
        <w:tc>
          <w:tcPr>
            <w:tcW w:w="928" w:type="pct"/>
            <w:tcBorders>
              <w:bottom w:val="single" w:sz="4" w:space="0" w:color="auto"/>
            </w:tcBorders>
            <w:vAlign w:val="center"/>
            <w:hideMark/>
          </w:tcPr>
          <w:p w14:paraId="1A0EC9E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Quality infrastructure</w:t>
            </w:r>
          </w:p>
        </w:tc>
        <w:tc>
          <w:tcPr>
            <w:tcW w:w="533" w:type="pct"/>
            <w:tcBorders>
              <w:bottom w:val="single" w:sz="4" w:space="0" w:color="auto"/>
            </w:tcBorders>
            <w:vAlign w:val="center"/>
            <w:hideMark/>
          </w:tcPr>
          <w:p w14:paraId="44649BC7"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.309</w:t>
            </w:r>
          </w:p>
        </w:tc>
        <w:tc>
          <w:tcPr>
            <w:tcW w:w="596" w:type="pct"/>
            <w:tcBorders>
              <w:bottom w:val="single" w:sz="4" w:space="0" w:color="auto"/>
            </w:tcBorders>
            <w:vAlign w:val="center"/>
            <w:hideMark/>
          </w:tcPr>
          <w:p w14:paraId="62B8FA9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.061</w:t>
            </w:r>
          </w:p>
        </w:tc>
        <w:tc>
          <w:tcPr>
            <w:tcW w:w="865" w:type="pct"/>
            <w:tcBorders>
              <w:bottom w:val="single" w:sz="4" w:space="0" w:color="auto"/>
            </w:tcBorders>
            <w:vAlign w:val="center"/>
            <w:hideMark/>
          </w:tcPr>
          <w:p w14:paraId="6D72F9E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.389</w:t>
            </w:r>
          </w:p>
        </w:tc>
        <w:tc>
          <w:tcPr>
            <w:tcW w:w="326" w:type="pct"/>
            <w:tcBorders>
              <w:bottom w:val="single" w:sz="4" w:space="0" w:color="auto"/>
            </w:tcBorders>
            <w:vAlign w:val="center"/>
            <w:hideMark/>
          </w:tcPr>
          <w:p w14:paraId="6EEAEF55"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5,072</w:t>
            </w:r>
          </w:p>
        </w:tc>
        <w:tc>
          <w:tcPr>
            <w:tcW w:w="372" w:type="pct"/>
            <w:tcBorders>
              <w:bottom w:val="single" w:sz="4" w:space="0" w:color="auto"/>
            </w:tcBorders>
            <w:vAlign w:val="center"/>
            <w:hideMark/>
          </w:tcPr>
          <w:p w14:paraId="45EC81F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709" w:type="pct"/>
            <w:tcBorders>
              <w:bottom w:val="single" w:sz="4" w:space="0" w:color="auto"/>
            </w:tcBorders>
            <w:vAlign w:val="center"/>
            <w:hideMark/>
          </w:tcPr>
          <w:p w14:paraId="1D43DFB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c>
          <w:tcPr>
            <w:tcW w:w="474" w:type="pct"/>
            <w:tcBorders>
              <w:bottom w:val="single" w:sz="4" w:space="0" w:color="auto"/>
            </w:tcBorders>
            <w:vAlign w:val="center"/>
            <w:hideMark/>
          </w:tcPr>
          <w:p w14:paraId="4FE94ACA"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r>
    </w:tbl>
    <w:p w14:paraId="3110502B" w14:textId="77777777" w:rsidR="00DC6E2B" w:rsidRPr="00D47213" w:rsidRDefault="00DC6E2B" w:rsidP="00DC6E2B">
      <w:pPr>
        <w:jc w:val="both"/>
        <w:rPr>
          <w:rFonts w:ascii="Baskerville Old Face" w:eastAsia="Cambria" w:hAnsi="Baskerville Old Face" w:cs="Cambria"/>
          <w:sz w:val="24"/>
          <w:szCs w:val="24"/>
          <w:lang w:val="en-ID"/>
        </w:rPr>
      </w:pPr>
    </w:p>
    <w:p w14:paraId="59E03CE3" w14:textId="0AAD4FE1"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Based on table said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shows that quality learning will worth 43,411 when ICT use and quality means infrastructure considered constant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whereas every increase One unit the use of ICT will followed improvement quality learning of 0.367 units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and each increase One unit quality means infrastructure will followed improvement quality learning amounting to 0.309 units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In partial</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use of ICT has an effect positive and significant to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is seen from mark coefficient regression of 0.367, the calculated t value is 6.755, and the significance is 0.000 which is greater small from 0.05.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more intensive and effective use of ICT in the learning process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then the more tall quality learning achieved</w:t>
      </w:r>
      <w:r w:rsidR="00D10F08">
        <w:rPr>
          <w:rFonts w:ascii="Baskerville Old Face" w:eastAsia="Cambria" w:hAnsi="Baskerville Old Face" w:cs="Cambria"/>
          <w:sz w:val="24"/>
          <w:szCs w:val="24"/>
          <w:lang w:val="en-ID"/>
        </w:rPr>
        <w:t>.</w:t>
      </w:r>
      <w:r w:rsidRPr="00D47213">
        <w:rPr>
          <w:rFonts w:eastAsia="Cambria"/>
          <w:sz w:val="24"/>
          <w:szCs w:val="24"/>
          <w:lang w:val="en-ID"/>
        </w:rPr>
        <w:t>​</w:t>
      </w:r>
    </w:p>
    <w:p w14:paraId="5553B721" w14:textId="5E11763E"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The quality of infrastructure also has a positive and significant impact on learning quality. A regression coefficient of 0.309, with a t-value of 5.072 and a significance level of 0.000, indicates that better infrastructure will encourage improved learning quality. This means that the presence of adequate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suitable and functional facilities</w:t>
      </w:r>
      <w:r w:rsidRPr="00D10F08">
        <w:rPr>
          <w:rFonts w:eastAsia="Cambria"/>
          <w:sz w:val="24"/>
          <w:szCs w:val="24"/>
          <w:lang w:val="en-ID"/>
        </w:rPr>
        <w:t>​</w:t>
      </w:r>
      <w:r w:rsidRPr="00D47213">
        <w:rPr>
          <w:rFonts w:ascii="Baskerville Old Face" w:eastAsia="Cambria" w:hAnsi="Baskerville Old Face" w:cs="Cambria"/>
          <w:sz w:val="24"/>
          <w:szCs w:val="24"/>
          <w:lang w:val="en-ID"/>
        </w:rPr>
        <w:t xml:space="preserve"> own role important in support the learning process effective teaching</w:t>
      </w:r>
      <w:r w:rsidR="00D10F08">
        <w:rPr>
          <w:rFonts w:ascii="Baskerville Old Face" w:eastAsia="Cambria" w:hAnsi="Baskerville Old Face" w:cs="Cambria"/>
          <w:sz w:val="24"/>
          <w:szCs w:val="24"/>
          <w:lang w:val="en-ID"/>
        </w:rPr>
        <w:t>.</w:t>
      </w:r>
      <w:r w:rsidRPr="00D10F08">
        <w:rPr>
          <w:rFonts w:eastAsia="Cambria"/>
          <w:sz w:val="24"/>
          <w:szCs w:val="24"/>
          <w:lang w:val="en-ID"/>
        </w:rPr>
        <w:t>​</w:t>
      </w:r>
      <w:r w:rsidRPr="00D47213">
        <w:rPr>
          <w:rFonts w:ascii="Baskerville Old Face" w:eastAsia="Cambria" w:hAnsi="Baskerville Old Face" w:cs="Cambria"/>
          <w:sz w:val="24"/>
          <w:szCs w:val="24"/>
          <w:lang w:val="en-ID"/>
        </w:rPr>
        <w:t xml:space="preserve"> If seen from standardized Beta value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use of ICT has more influence</w:t>
      </w:r>
      <w:r w:rsidRPr="00D10F08">
        <w:rPr>
          <w:rFonts w:eastAsia="Cambria"/>
          <w:sz w:val="24"/>
          <w:szCs w:val="24"/>
          <w:lang w:val="en-ID"/>
        </w:rPr>
        <w:t>​</w:t>
      </w:r>
      <w:r w:rsidRPr="00D47213">
        <w:rPr>
          <w:rFonts w:ascii="Baskerville Old Face" w:eastAsia="Cambria" w:hAnsi="Baskerville Old Face" w:cs="Cambria"/>
          <w:sz w:val="24"/>
          <w:szCs w:val="24"/>
          <w:lang w:val="en-ID"/>
        </w:rPr>
        <w:t xml:space="preserve"> dominant compared to quality means infrastructure Because Beta value of use ICT of 0.518 more big than Beta quality infrastructure of 0.389. This means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in the research model this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variable the use of ICT is more factors</w:t>
      </w:r>
      <w:r w:rsidRPr="00D10F08">
        <w:rPr>
          <w:rFonts w:eastAsia="Cambria"/>
          <w:sz w:val="24"/>
          <w:szCs w:val="24"/>
          <w:lang w:val="en-ID"/>
        </w:rPr>
        <w:t>​</w:t>
      </w:r>
      <w:r w:rsidRPr="00D47213">
        <w:rPr>
          <w:rFonts w:ascii="Baskerville Old Face" w:eastAsia="Cambria" w:hAnsi="Baskerville Old Face" w:cs="Cambria"/>
          <w:sz w:val="24"/>
          <w:szCs w:val="24"/>
          <w:lang w:val="en-ID"/>
        </w:rPr>
        <w:t xml:space="preserve"> strong in explain variation quality learning compared to means infrastructure</w:t>
      </w:r>
      <w:r w:rsidR="00D10F08">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en-ID"/>
        </w:rPr>
        <w:t>Meanwhile, a Tolerance value of 1.000 and a VIF of 1.000 for both variables indicate that there is no multicollinearity problem in the regression model. In other words, ICT use and infrastructure quality do not significantly interfere with each other in explaining learning quality, making the model suitable for further interpretation.</w:t>
      </w:r>
    </w:p>
    <w:p w14:paraId="07A5622E" w14:textId="77777777" w:rsidR="00DC6E2B" w:rsidRPr="00D10F08" w:rsidRDefault="00DC6E2B" w:rsidP="00D10F08">
      <w:pPr>
        <w:numPr>
          <w:ilvl w:val="0"/>
          <w:numId w:val="12"/>
        </w:numPr>
        <w:ind w:left="378"/>
        <w:jc w:val="both"/>
        <w:rPr>
          <w:rFonts w:ascii="Baskerville Old Face" w:eastAsia="Cambria" w:hAnsi="Baskerville Old Face" w:cs="Cambria"/>
          <w:b/>
          <w:bCs/>
          <w:sz w:val="28"/>
          <w:szCs w:val="28"/>
          <w:lang w:val="en-ID"/>
        </w:rPr>
      </w:pPr>
      <w:r w:rsidRPr="00D10F08">
        <w:rPr>
          <w:rFonts w:ascii="Baskerville Old Face" w:eastAsia="Cambria" w:hAnsi="Baskerville Old Face" w:cs="Cambria"/>
          <w:b/>
          <w:bCs/>
          <w:sz w:val="28"/>
          <w:szCs w:val="28"/>
          <w:lang w:val="en-ID"/>
        </w:rPr>
        <w:t>Multiple Linear Regression</w:t>
      </w:r>
    </w:p>
    <w:p w14:paraId="6EB4357B" w14:textId="0870CDA5" w:rsidR="00DC6E2B" w:rsidRDefault="00DC6E2B" w:rsidP="00D10F08">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Multiple linear regression analysis is a statistical analysis technique used to test the effect of two or more independent </w:t>
      </w:r>
      <w:r w:rsidRPr="00D10F08">
        <w:rPr>
          <w:rFonts w:ascii="Baskerville Old Face" w:eastAsia="Cambria" w:hAnsi="Baskerville Old Face" w:cs="Cambria"/>
          <w:sz w:val="24"/>
          <w:szCs w:val="24"/>
          <w:lang w:val="en-ID"/>
        </w:rPr>
        <w:t>variables</w:t>
      </w:r>
      <w:r w:rsidRPr="00D47213">
        <w:rPr>
          <w:rFonts w:ascii="Baskerville Old Face" w:eastAsia="Cambria" w:hAnsi="Baskerville Old Face" w:cs="Cambria"/>
          <w:sz w:val="24"/>
          <w:szCs w:val="24"/>
          <w:lang w:val="id-ID"/>
        </w:rPr>
        <w:t xml:space="preserve"> (predictors) on one dependent variable (criterion) with the assumption of a linear relationship between variables (Hair et al., 2019). In the context of this study, multiple linear regression analysis was used to test the effect of ICT use (X </w:t>
      </w:r>
      <w:r w:rsidRPr="00D47213">
        <w:rPr>
          <w:rFonts w:ascii="Cambria Math" w:eastAsia="Cambria" w:hAnsi="Cambria Math" w:cs="Cambria Math"/>
          <w:sz w:val="24"/>
          <w:szCs w:val="24"/>
          <w:lang w:val="id-ID"/>
        </w:rPr>
        <w:t>₁</w:t>
      </w:r>
      <w:r w:rsidR="00D10F08">
        <w:rPr>
          <w:rFonts w:ascii="Baskerville Old Face" w:eastAsia="Cambria" w:hAnsi="Baskerville Old Face"/>
          <w:sz w:val="24"/>
          <w:szCs w:val="24"/>
          <w:lang w:val="id-ID"/>
        </w:rPr>
        <w:t>)</w:t>
      </w:r>
      <w:r w:rsidRPr="00D47213">
        <w:rPr>
          <w:rFonts w:ascii="Baskerville Old Face" w:eastAsia="Cambria" w:hAnsi="Baskerville Old Face" w:cs="Cambria"/>
          <w:sz w:val="24"/>
          <w:szCs w:val="24"/>
          <w:lang w:val="id-ID"/>
        </w:rPr>
        <w:t xml:space="preserve"> and the quality of infrastructure (X </w:t>
      </w:r>
      <w:r w:rsidRPr="00D47213">
        <w:rPr>
          <w:rFonts w:ascii="Cambria Math" w:eastAsia="Cambria" w:hAnsi="Cambria Math" w:cs="Cambria Math"/>
          <w:sz w:val="24"/>
          <w:szCs w:val="24"/>
          <w:lang w:val="id-ID"/>
        </w:rPr>
        <w:t>₂</w:t>
      </w:r>
      <w:r w:rsidR="00D10F08">
        <w:rPr>
          <w:rFonts w:ascii="Baskerville Old Face" w:eastAsia="Cambria" w:hAnsi="Baskerville Old Face"/>
          <w:sz w:val="24"/>
          <w:szCs w:val="24"/>
          <w:lang w:val="id-ID"/>
        </w:rPr>
        <w:t>)</w:t>
      </w:r>
      <w:r w:rsidRPr="00D47213">
        <w:rPr>
          <w:rFonts w:ascii="Baskerville Old Face" w:eastAsia="Cambria" w:hAnsi="Baskerville Old Face" w:cs="Cambria"/>
          <w:sz w:val="24"/>
          <w:szCs w:val="24"/>
          <w:lang w:val="id-ID"/>
        </w:rPr>
        <w:t xml:space="preserve"> partially (individually) and simultaneously (together) on Learning Quality (Y) (Sugiyono, 2017)</w:t>
      </w:r>
      <w:r w:rsidR="00D10F08">
        <w:rPr>
          <w:rFonts w:ascii="Baskerville Old Face" w:eastAsia="Cambria" w:hAnsi="Baskerville Old Face" w:cs="Cambria"/>
          <w:sz w:val="24"/>
          <w:szCs w:val="24"/>
          <w:lang w:val="id-ID"/>
        </w:rPr>
        <w:t>.</w:t>
      </w:r>
    </w:p>
    <w:p w14:paraId="204797E7" w14:textId="77777777" w:rsidR="00DC6E2B" w:rsidRPr="00D10F08" w:rsidRDefault="00DC6E2B" w:rsidP="00D10F08">
      <w:pPr>
        <w:pStyle w:val="ListParagraph"/>
        <w:numPr>
          <w:ilvl w:val="0"/>
          <w:numId w:val="23"/>
        </w:numPr>
        <w:spacing w:after="0" w:line="240" w:lineRule="auto"/>
        <w:ind w:left="336"/>
        <w:contextualSpacing w:val="0"/>
        <w:rPr>
          <w:rFonts w:ascii="Baskerville Old Face" w:eastAsia="Cambria" w:hAnsi="Baskerville Old Face" w:cs="Cambria"/>
          <w:b/>
          <w:bCs/>
          <w:sz w:val="28"/>
          <w:szCs w:val="28"/>
          <w:lang w:val="en-ID"/>
        </w:rPr>
      </w:pPr>
      <w:r w:rsidRPr="00D10F08">
        <w:rPr>
          <w:rFonts w:ascii="Baskerville Old Face" w:eastAsia="Cambria" w:hAnsi="Baskerville Old Face" w:cs="Cambria"/>
          <w:b/>
          <w:bCs/>
          <w:sz w:val="28"/>
          <w:szCs w:val="28"/>
          <w:lang w:val="en-ID"/>
        </w:rPr>
        <w:t>Testing Hypothesis</w:t>
      </w:r>
    </w:p>
    <w:p w14:paraId="759B3F33" w14:textId="77777777" w:rsidR="00DC6E2B" w:rsidRPr="00D10F08" w:rsidRDefault="00DC6E2B" w:rsidP="00D10F08">
      <w:pPr>
        <w:numPr>
          <w:ilvl w:val="5"/>
          <w:numId w:val="14"/>
        </w:numPr>
        <w:ind w:left="406" w:hanging="425"/>
        <w:jc w:val="both"/>
        <w:rPr>
          <w:rFonts w:ascii="Baskerville Old Face" w:eastAsia="Cambria" w:hAnsi="Baskerville Old Face" w:cs="Cambria"/>
          <w:b/>
          <w:bCs/>
          <w:sz w:val="28"/>
          <w:szCs w:val="28"/>
          <w:lang w:val="en-ID"/>
        </w:rPr>
      </w:pPr>
      <w:r w:rsidRPr="00D10F08">
        <w:rPr>
          <w:rFonts w:ascii="Baskerville Old Face" w:eastAsia="Cambria" w:hAnsi="Baskerville Old Face" w:cs="Cambria"/>
          <w:b/>
          <w:bCs/>
          <w:sz w:val="28"/>
          <w:szCs w:val="28"/>
          <w:lang w:val="en-ID"/>
        </w:rPr>
        <w:t>Analysis Simple Linear Regression (t-Test)</w:t>
      </w:r>
    </w:p>
    <w:p w14:paraId="3DA62E76" w14:textId="77777777" w:rsidR="00D10F08" w:rsidRPr="00D10F08" w:rsidRDefault="00D10F08" w:rsidP="00DC6E2B">
      <w:pPr>
        <w:jc w:val="center"/>
        <w:rPr>
          <w:rFonts w:ascii="Baskerville Old Face" w:eastAsia="Cambria" w:hAnsi="Baskerville Old Face" w:cs="Cambria"/>
          <w:sz w:val="12"/>
          <w:szCs w:val="12"/>
          <w:lang w:val="en-ID"/>
        </w:rPr>
      </w:pPr>
    </w:p>
    <w:p w14:paraId="73D5CBCE" w14:textId="3AC89FC5" w:rsidR="00DC6E2B" w:rsidRPr="00D47213" w:rsidRDefault="00DC6E2B" w:rsidP="00DC6E2B">
      <w:pPr>
        <w:jc w:val="center"/>
        <w:rPr>
          <w:rFonts w:ascii="Baskerville Old Face" w:eastAsia="Cambria" w:hAnsi="Baskerville Old Face" w:cs="Cambria"/>
          <w:sz w:val="24"/>
          <w:szCs w:val="24"/>
          <w:lang w:val="en-ID"/>
        </w:rPr>
      </w:pPr>
      <w:r w:rsidRPr="00D10F08">
        <w:rPr>
          <w:rFonts w:ascii="Baskerville Old Face" w:eastAsia="Cambria" w:hAnsi="Baskerville Old Face" w:cs="Cambria"/>
          <w:b/>
          <w:bCs/>
          <w:sz w:val="24"/>
          <w:szCs w:val="24"/>
          <w:lang w:val="en-ID"/>
        </w:rPr>
        <w:t>Table 9.</w:t>
      </w:r>
      <w:r w:rsidRPr="00D47213">
        <w:rPr>
          <w:rFonts w:ascii="Baskerville Old Face" w:eastAsia="Cambria" w:hAnsi="Baskerville Old Face" w:cs="Cambria"/>
          <w:sz w:val="24"/>
          <w:szCs w:val="24"/>
          <w:lang w:val="en-ID"/>
        </w:rPr>
        <w:t xml:space="preserve"> Results of coefficient test analysis simple linear regression variables influence The use of ICT in quality learning</w:t>
      </w:r>
    </w:p>
    <w:tbl>
      <w:tblPr>
        <w:tblW w:w="8986" w:type="dxa"/>
        <w:tblLayout w:type="fixed"/>
        <w:tblCellMar>
          <w:left w:w="0" w:type="dxa"/>
          <w:right w:w="0" w:type="dxa"/>
        </w:tblCellMar>
        <w:tblLook w:val="04A0" w:firstRow="1" w:lastRow="0" w:firstColumn="1" w:lastColumn="0" w:noHBand="0" w:noVBand="1"/>
      </w:tblPr>
      <w:tblGrid>
        <w:gridCol w:w="566"/>
        <w:gridCol w:w="1561"/>
        <w:gridCol w:w="709"/>
        <w:gridCol w:w="1277"/>
        <w:gridCol w:w="1208"/>
        <w:gridCol w:w="682"/>
        <w:gridCol w:w="818"/>
        <w:gridCol w:w="1134"/>
        <w:gridCol w:w="1031"/>
      </w:tblGrid>
      <w:tr w:rsidR="00DC6E2B" w:rsidRPr="00D47213" w14:paraId="1C21C46B" w14:textId="77777777" w:rsidTr="005144C4">
        <w:trPr>
          <w:cantSplit/>
          <w:trHeight w:val="1027"/>
        </w:trPr>
        <w:tc>
          <w:tcPr>
            <w:tcW w:w="2127" w:type="dxa"/>
            <w:gridSpan w:val="2"/>
            <w:vMerge w:val="restart"/>
            <w:tcBorders>
              <w:top w:val="single" w:sz="4" w:space="0" w:color="auto"/>
            </w:tcBorders>
            <w:vAlign w:val="center"/>
            <w:hideMark/>
          </w:tcPr>
          <w:p w14:paraId="03D4244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1986" w:type="dxa"/>
            <w:gridSpan w:val="2"/>
            <w:tcBorders>
              <w:top w:val="single" w:sz="4" w:space="0" w:color="auto"/>
              <w:bottom w:val="single" w:sz="4" w:space="0" w:color="auto"/>
            </w:tcBorders>
            <w:vAlign w:val="center"/>
            <w:hideMark/>
          </w:tcPr>
          <w:p w14:paraId="7C818C1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Unstandardized Coefficients</w:t>
            </w:r>
          </w:p>
        </w:tc>
        <w:tc>
          <w:tcPr>
            <w:tcW w:w="1208" w:type="dxa"/>
            <w:tcBorders>
              <w:top w:val="single" w:sz="4" w:space="0" w:color="auto"/>
              <w:bottom w:val="single" w:sz="4" w:space="0" w:color="auto"/>
            </w:tcBorders>
            <w:vAlign w:val="center"/>
            <w:hideMark/>
          </w:tcPr>
          <w:p w14:paraId="10E9353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Standardized Coefficients</w:t>
            </w:r>
          </w:p>
        </w:tc>
        <w:tc>
          <w:tcPr>
            <w:tcW w:w="682" w:type="dxa"/>
            <w:tcBorders>
              <w:top w:val="single" w:sz="4" w:space="0" w:color="auto"/>
              <w:bottom w:val="single" w:sz="4" w:space="0" w:color="auto"/>
            </w:tcBorders>
            <w:vAlign w:val="center"/>
            <w:hideMark/>
          </w:tcPr>
          <w:p w14:paraId="5DAA47A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w:t>
            </w:r>
          </w:p>
        </w:tc>
        <w:tc>
          <w:tcPr>
            <w:tcW w:w="818" w:type="dxa"/>
            <w:tcBorders>
              <w:top w:val="single" w:sz="4" w:space="0" w:color="auto"/>
              <w:bottom w:val="single" w:sz="4" w:space="0" w:color="auto"/>
            </w:tcBorders>
            <w:vAlign w:val="center"/>
            <w:hideMark/>
          </w:tcPr>
          <w:p w14:paraId="688AD97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c>
          <w:tcPr>
            <w:tcW w:w="2165" w:type="dxa"/>
            <w:gridSpan w:val="2"/>
            <w:tcBorders>
              <w:top w:val="single" w:sz="4" w:space="0" w:color="auto"/>
              <w:bottom w:val="single" w:sz="4" w:space="0" w:color="auto"/>
            </w:tcBorders>
            <w:vAlign w:val="center"/>
            <w:hideMark/>
          </w:tcPr>
          <w:p w14:paraId="31C63666"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Collinearity Statistics</w:t>
            </w:r>
          </w:p>
        </w:tc>
      </w:tr>
      <w:tr w:rsidR="00DC6E2B" w:rsidRPr="00D47213" w14:paraId="4C11EA39" w14:textId="77777777" w:rsidTr="005144C4">
        <w:trPr>
          <w:cantSplit/>
          <w:trHeight w:val="433"/>
        </w:trPr>
        <w:tc>
          <w:tcPr>
            <w:tcW w:w="2127" w:type="dxa"/>
            <w:gridSpan w:val="2"/>
            <w:vMerge/>
            <w:tcBorders>
              <w:bottom w:val="single" w:sz="4" w:space="0" w:color="auto"/>
            </w:tcBorders>
            <w:vAlign w:val="center"/>
            <w:hideMark/>
          </w:tcPr>
          <w:p w14:paraId="5678FCC9" w14:textId="77777777" w:rsidR="00DC6E2B" w:rsidRPr="00D47213" w:rsidRDefault="00DC6E2B" w:rsidP="00D10F08">
            <w:pPr>
              <w:jc w:val="center"/>
              <w:rPr>
                <w:rFonts w:ascii="Baskerville Old Face" w:eastAsia="Cambria" w:hAnsi="Baskerville Old Face" w:cs="Cambria"/>
                <w:sz w:val="24"/>
                <w:szCs w:val="24"/>
                <w:lang w:val="en-ID"/>
              </w:rPr>
            </w:pPr>
          </w:p>
        </w:tc>
        <w:tc>
          <w:tcPr>
            <w:tcW w:w="709" w:type="dxa"/>
            <w:tcBorders>
              <w:top w:val="single" w:sz="4" w:space="0" w:color="auto"/>
              <w:bottom w:val="single" w:sz="4" w:space="0" w:color="auto"/>
            </w:tcBorders>
            <w:vAlign w:val="center"/>
            <w:hideMark/>
          </w:tcPr>
          <w:p w14:paraId="7A86828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w:t>
            </w:r>
          </w:p>
        </w:tc>
        <w:tc>
          <w:tcPr>
            <w:tcW w:w="1277" w:type="dxa"/>
            <w:tcBorders>
              <w:top w:val="single" w:sz="4" w:space="0" w:color="auto"/>
              <w:bottom w:val="single" w:sz="4" w:space="0" w:color="auto"/>
            </w:tcBorders>
            <w:vAlign w:val="center"/>
            <w:hideMark/>
          </w:tcPr>
          <w:p w14:paraId="154AA19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Std. Error</w:t>
            </w:r>
          </w:p>
        </w:tc>
        <w:tc>
          <w:tcPr>
            <w:tcW w:w="1208" w:type="dxa"/>
            <w:tcBorders>
              <w:top w:val="single" w:sz="4" w:space="0" w:color="auto"/>
              <w:bottom w:val="single" w:sz="4" w:space="0" w:color="auto"/>
            </w:tcBorders>
            <w:vAlign w:val="center"/>
            <w:hideMark/>
          </w:tcPr>
          <w:p w14:paraId="6B267712"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Beta</w:t>
            </w:r>
          </w:p>
        </w:tc>
        <w:tc>
          <w:tcPr>
            <w:tcW w:w="682" w:type="dxa"/>
            <w:tcBorders>
              <w:top w:val="single" w:sz="4" w:space="0" w:color="auto"/>
              <w:bottom w:val="single" w:sz="4" w:space="0" w:color="auto"/>
            </w:tcBorders>
            <w:vAlign w:val="center"/>
          </w:tcPr>
          <w:p w14:paraId="3DB2DD7B" w14:textId="77777777" w:rsidR="00DC6E2B" w:rsidRPr="00D47213" w:rsidRDefault="00DC6E2B" w:rsidP="00D10F08">
            <w:pPr>
              <w:jc w:val="center"/>
              <w:rPr>
                <w:rFonts w:ascii="Baskerville Old Face" w:eastAsia="Cambria" w:hAnsi="Baskerville Old Face" w:cs="Cambria"/>
                <w:sz w:val="24"/>
                <w:szCs w:val="24"/>
                <w:lang w:val="en-ID"/>
              </w:rPr>
            </w:pPr>
          </w:p>
        </w:tc>
        <w:tc>
          <w:tcPr>
            <w:tcW w:w="818" w:type="dxa"/>
            <w:tcBorders>
              <w:top w:val="single" w:sz="4" w:space="0" w:color="auto"/>
              <w:bottom w:val="single" w:sz="4" w:space="0" w:color="auto"/>
            </w:tcBorders>
            <w:vAlign w:val="center"/>
          </w:tcPr>
          <w:p w14:paraId="11E79FE9" w14:textId="77777777" w:rsidR="00DC6E2B" w:rsidRPr="00D47213" w:rsidRDefault="00DC6E2B" w:rsidP="00D10F08">
            <w:pPr>
              <w:jc w:val="center"/>
              <w:rPr>
                <w:rFonts w:ascii="Baskerville Old Face" w:eastAsia="Cambria" w:hAnsi="Baskerville Old Face" w:cs="Cambria"/>
                <w:sz w:val="24"/>
                <w:szCs w:val="24"/>
                <w:lang w:val="en-ID"/>
              </w:rPr>
            </w:pPr>
          </w:p>
        </w:tc>
        <w:tc>
          <w:tcPr>
            <w:tcW w:w="1134" w:type="dxa"/>
            <w:tcBorders>
              <w:top w:val="single" w:sz="4" w:space="0" w:color="auto"/>
              <w:bottom w:val="single" w:sz="4" w:space="0" w:color="auto"/>
            </w:tcBorders>
            <w:vAlign w:val="center"/>
            <w:hideMark/>
          </w:tcPr>
          <w:p w14:paraId="7DEE7A8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Tolerance</w:t>
            </w:r>
          </w:p>
        </w:tc>
        <w:tc>
          <w:tcPr>
            <w:tcW w:w="1031" w:type="dxa"/>
            <w:tcBorders>
              <w:top w:val="single" w:sz="4" w:space="0" w:color="auto"/>
              <w:bottom w:val="single" w:sz="4" w:space="0" w:color="auto"/>
            </w:tcBorders>
            <w:vAlign w:val="center"/>
            <w:hideMark/>
          </w:tcPr>
          <w:p w14:paraId="40DF281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VIF</w:t>
            </w:r>
          </w:p>
        </w:tc>
      </w:tr>
      <w:tr w:rsidR="00DC6E2B" w:rsidRPr="00D47213" w14:paraId="4053515A" w14:textId="77777777" w:rsidTr="005144C4">
        <w:trPr>
          <w:cantSplit/>
          <w:trHeight w:val="342"/>
        </w:trPr>
        <w:tc>
          <w:tcPr>
            <w:tcW w:w="566" w:type="dxa"/>
            <w:vMerge w:val="restart"/>
            <w:tcBorders>
              <w:top w:val="single" w:sz="4" w:space="0" w:color="auto"/>
            </w:tcBorders>
            <w:vAlign w:val="center"/>
            <w:hideMark/>
          </w:tcPr>
          <w:p w14:paraId="66536DD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1561" w:type="dxa"/>
            <w:tcBorders>
              <w:top w:val="single" w:sz="4" w:space="0" w:color="auto"/>
            </w:tcBorders>
            <w:vAlign w:val="center"/>
            <w:hideMark/>
          </w:tcPr>
          <w:p w14:paraId="29A8ADFD"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(Constant)</w:t>
            </w:r>
          </w:p>
        </w:tc>
        <w:tc>
          <w:tcPr>
            <w:tcW w:w="709" w:type="dxa"/>
            <w:tcBorders>
              <w:top w:val="single" w:sz="4" w:space="0" w:color="auto"/>
            </w:tcBorders>
            <w:vAlign w:val="center"/>
            <w:hideMark/>
          </w:tcPr>
          <w:p w14:paraId="47278C3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77,784</w:t>
            </w:r>
          </w:p>
        </w:tc>
        <w:tc>
          <w:tcPr>
            <w:tcW w:w="1277" w:type="dxa"/>
            <w:tcBorders>
              <w:top w:val="single" w:sz="4" w:space="0" w:color="auto"/>
            </w:tcBorders>
            <w:vAlign w:val="center"/>
            <w:hideMark/>
          </w:tcPr>
          <w:p w14:paraId="533A0001"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6,975</w:t>
            </w:r>
          </w:p>
        </w:tc>
        <w:tc>
          <w:tcPr>
            <w:tcW w:w="1208" w:type="dxa"/>
            <w:tcBorders>
              <w:top w:val="single" w:sz="4" w:space="0" w:color="auto"/>
            </w:tcBorders>
            <w:vAlign w:val="center"/>
          </w:tcPr>
          <w:p w14:paraId="731EF5C9" w14:textId="77777777" w:rsidR="00DC6E2B" w:rsidRPr="00D47213" w:rsidRDefault="00DC6E2B" w:rsidP="00D10F08">
            <w:pPr>
              <w:jc w:val="center"/>
              <w:rPr>
                <w:rFonts w:ascii="Baskerville Old Face" w:eastAsia="Cambria" w:hAnsi="Baskerville Old Face" w:cs="Cambria"/>
                <w:sz w:val="24"/>
                <w:szCs w:val="24"/>
                <w:lang w:val="en-ID"/>
              </w:rPr>
            </w:pPr>
          </w:p>
        </w:tc>
        <w:tc>
          <w:tcPr>
            <w:tcW w:w="682" w:type="dxa"/>
            <w:tcBorders>
              <w:top w:val="single" w:sz="4" w:space="0" w:color="auto"/>
            </w:tcBorders>
            <w:vAlign w:val="center"/>
            <w:hideMark/>
          </w:tcPr>
          <w:p w14:paraId="05C80E8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11,151</w:t>
            </w:r>
          </w:p>
        </w:tc>
        <w:tc>
          <w:tcPr>
            <w:tcW w:w="818" w:type="dxa"/>
            <w:tcBorders>
              <w:top w:val="single" w:sz="4" w:space="0" w:color="auto"/>
            </w:tcBorders>
            <w:vAlign w:val="center"/>
            <w:hideMark/>
          </w:tcPr>
          <w:p w14:paraId="66E29AF9"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1134" w:type="dxa"/>
            <w:tcBorders>
              <w:top w:val="single" w:sz="4" w:space="0" w:color="auto"/>
            </w:tcBorders>
            <w:vAlign w:val="center"/>
          </w:tcPr>
          <w:p w14:paraId="1E60304E" w14:textId="77777777" w:rsidR="00DC6E2B" w:rsidRPr="00D47213" w:rsidRDefault="00DC6E2B" w:rsidP="00D10F08">
            <w:pPr>
              <w:jc w:val="center"/>
              <w:rPr>
                <w:rFonts w:ascii="Baskerville Old Face" w:eastAsia="Cambria" w:hAnsi="Baskerville Old Face" w:cs="Cambria"/>
                <w:sz w:val="24"/>
                <w:szCs w:val="24"/>
                <w:lang w:val="en-ID"/>
              </w:rPr>
            </w:pPr>
          </w:p>
        </w:tc>
        <w:tc>
          <w:tcPr>
            <w:tcW w:w="1031" w:type="dxa"/>
            <w:tcBorders>
              <w:top w:val="single" w:sz="4" w:space="0" w:color="auto"/>
            </w:tcBorders>
            <w:vAlign w:val="center"/>
          </w:tcPr>
          <w:p w14:paraId="6B29DEC0" w14:textId="77777777" w:rsidR="00DC6E2B" w:rsidRPr="00D47213" w:rsidRDefault="00DC6E2B" w:rsidP="00D10F08">
            <w:pPr>
              <w:jc w:val="center"/>
              <w:rPr>
                <w:rFonts w:ascii="Baskerville Old Face" w:eastAsia="Cambria" w:hAnsi="Baskerville Old Face" w:cs="Cambria"/>
                <w:sz w:val="24"/>
                <w:szCs w:val="24"/>
                <w:lang w:val="en-ID"/>
              </w:rPr>
            </w:pPr>
          </w:p>
        </w:tc>
      </w:tr>
      <w:tr w:rsidR="00DC6E2B" w:rsidRPr="00D47213" w14:paraId="16FEC0BD" w14:textId="77777777" w:rsidTr="005144C4">
        <w:trPr>
          <w:cantSplit/>
          <w:trHeight w:val="342"/>
        </w:trPr>
        <w:tc>
          <w:tcPr>
            <w:tcW w:w="566" w:type="dxa"/>
            <w:vMerge/>
            <w:tcBorders>
              <w:bottom w:val="single" w:sz="4" w:space="0" w:color="auto"/>
            </w:tcBorders>
            <w:vAlign w:val="center"/>
            <w:hideMark/>
          </w:tcPr>
          <w:p w14:paraId="5764CF39" w14:textId="77777777" w:rsidR="00DC6E2B" w:rsidRPr="00D47213" w:rsidRDefault="00DC6E2B" w:rsidP="00D10F08">
            <w:pPr>
              <w:jc w:val="center"/>
              <w:rPr>
                <w:rFonts w:ascii="Baskerville Old Face" w:eastAsia="Cambria" w:hAnsi="Baskerville Old Face" w:cs="Cambria"/>
                <w:sz w:val="24"/>
                <w:szCs w:val="24"/>
                <w:lang w:val="en-ID"/>
              </w:rPr>
            </w:pPr>
          </w:p>
        </w:tc>
        <w:tc>
          <w:tcPr>
            <w:tcW w:w="1561" w:type="dxa"/>
            <w:tcBorders>
              <w:bottom w:val="single" w:sz="4" w:space="0" w:color="auto"/>
            </w:tcBorders>
            <w:vAlign w:val="center"/>
            <w:hideMark/>
          </w:tcPr>
          <w:p w14:paraId="516E9C44"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Use of ICT</w:t>
            </w:r>
          </w:p>
        </w:tc>
        <w:tc>
          <w:tcPr>
            <w:tcW w:w="709" w:type="dxa"/>
            <w:tcBorders>
              <w:bottom w:val="single" w:sz="4" w:space="0" w:color="auto"/>
            </w:tcBorders>
            <w:vAlign w:val="center"/>
            <w:hideMark/>
          </w:tcPr>
          <w:p w14:paraId="1B6DBF63"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.367</w:t>
            </w:r>
          </w:p>
        </w:tc>
        <w:tc>
          <w:tcPr>
            <w:tcW w:w="1277" w:type="dxa"/>
            <w:tcBorders>
              <w:bottom w:val="single" w:sz="4" w:space="0" w:color="auto"/>
            </w:tcBorders>
            <w:vAlign w:val="center"/>
            <w:hideMark/>
          </w:tcPr>
          <w:p w14:paraId="5C53F4E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.061</w:t>
            </w:r>
          </w:p>
        </w:tc>
        <w:tc>
          <w:tcPr>
            <w:tcW w:w="1208" w:type="dxa"/>
            <w:tcBorders>
              <w:bottom w:val="single" w:sz="4" w:space="0" w:color="auto"/>
            </w:tcBorders>
            <w:vAlign w:val="center"/>
            <w:hideMark/>
          </w:tcPr>
          <w:p w14:paraId="1BE74E1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.517</w:t>
            </w:r>
          </w:p>
        </w:tc>
        <w:tc>
          <w:tcPr>
            <w:tcW w:w="682" w:type="dxa"/>
            <w:tcBorders>
              <w:bottom w:val="single" w:sz="4" w:space="0" w:color="auto"/>
            </w:tcBorders>
            <w:vAlign w:val="center"/>
            <w:hideMark/>
          </w:tcPr>
          <w:p w14:paraId="13AC5C3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6,042</w:t>
            </w:r>
          </w:p>
        </w:tc>
        <w:tc>
          <w:tcPr>
            <w:tcW w:w="818" w:type="dxa"/>
            <w:tcBorders>
              <w:bottom w:val="single" w:sz="4" w:space="0" w:color="auto"/>
            </w:tcBorders>
            <w:vAlign w:val="center"/>
            <w:hideMark/>
          </w:tcPr>
          <w:p w14:paraId="565B88B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1134" w:type="dxa"/>
            <w:tcBorders>
              <w:bottom w:val="single" w:sz="4" w:space="0" w:color="auto"/>
            </w:tcBorders>
            <w:vAlign w:val="center"/>
            <w:hideMark/>
          </w:tcPr>
          <w:p w14:paraId="1098DEA7"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c>
          <w:tcPr>
            <w:tcW w:w="1031" w:type="dxa"/>
            <w:tcBorders>
              <w:bottom w:val="single" w:sz="4" w:space="0" w:color="auto"/>
            </w:tcBorders>
            <w:vAlign w:val="center"/>
            <w:hideMark/>
          </w:tcPr>
          <w:p w14:paraId="53A25E0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r>
    </w:tbl>
    <w:p w14:paraId="4B510296" w14:textId="77777777" w:rsidR="00D10F08" w:rsidRDefault="00D10F08" w:rsidP="00DC6E2B">
      <w:pPr>
        <w:ind w:firstLine="720"/>
        <w:jc w:val="both"/>
        <w:rPr>
          <w:rFonts w:ascii="Baskerville Old Face" w:eastAsia="Cambria" w:hAnsi="Baskerville Old Face" w:cs="Cambria"/>
          <w:sz w:val="24"/>
          <w:szCs w:val="24"/>
          <w:lang w:val="en-ID"/>
        </w:rPr>
      </w:pPr>
    </w:p>
    <w:p w14:paraId="5C40D1F4" w14:textId="24E090EA" w:rsidR="00DC6E2B" w:rsidRPr="00D47213"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lastRenderedPageBreak/>
        <w:t>Analysis results simple linear regression show that use technology information and communication influential positive to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Constant value of 77,784 indicates that if the use of ICT is considered still</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then quality learning is at 77.784</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coefficient regression ICT usage of 0.367 shows that every improvement One unit the use of ICT will increase quality learning of 0.367 units</w:t>
      </w:r>
      <w:r w:rsidR="00D10F08">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en-ID"/>
        </w:rPr>
        <w:t>Partial test results show t - value amounting to 6,042 with significance of 0.000. Because the value significance more small from 0.05, then the use of ICT has an impact positive and significant to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more Good utilization of ICT in activity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increasingly tall quality learning that can be achieved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Standardized beta value of 0.517 also shows that influence use of ICT for quality learning classified as Enough strong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Besides that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tolerance and VIF values of 1,000 each indicate that the regression model No experience problem multicollinearity</w:t>
      </w:r>
      <w:r w:rsidR="00D10F08">
        <w:rPr>
          <w:rFonts w:ascii="Baskerville Old Face" w:eastAsia="Cambria" w:hAnsi="Baskerville Old Face" w:cs="Cambria"/>
          <w:sz w:val="24"/>
          <w:szCs w:val="24"/>
          <w:lang w:val="en-ID"/>
        </w:rPr>
        <w:t>.</w:t>
      </w:r>
    </w:p>
    <w:p w14:paraId="4948A18F" w14:textId="3F89C340" w:rsidR="00DC6E2B" w:rsidRDefault="00DC6E2B" w:rsidP="00D10F08">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In a way academic</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findings This confirm that success The use of ICT contributes direct to improvement quality learning at school basic</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This is support hypothesis study that designed curriculum</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with principle independent Study capable give impact significant towards the process and results Study students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regression model obtained worthy used as base interpretation more carry on</w:t>
      </w:r>
      <w:r w:rsidR="00D10F08">
        <w:rPr>
          <w:rFonts w:ascii="Baskerville Old Face" w:eastAsia="Cambria" w:hAnsi="Baskerville Old Face" w:cs="Cambria"/>
          <w:sz w:val="24"/>
          <w:szCs w:val="24"/>
          <w:lang w:val="en-ID"/>
        </w:rPr>
        <w:t>.</w:t>
      </w:r>
    </w:p>
    <w:p w14:paraId="775FC6D8" w14:textId="77777777" w:rsidR="00D10F08" w:rsidRPr="00D10F08" w:rsidRDefault="00D10F08" w:rsidP="00D10F08">
      <w:pPr>
        <w:ind w:firstLine="567"/>
        <w:jc w:val="both"/>
        <w:rPr>
          <w:rFonts w:ascii="Baskerville Old Face" w:eastAsia="Cambria" w:hAnsi="Baskerville Old Face" w:cs="Cambria"/>
          <w:sz w:val="12"/>
          <w:szCs w:val="12"/>
          <w:lang w:val="en-ID"/>
        </w:rPr>
      </w:pPr>
    </w:p>
    <w:p w14:paraId="026AB8CE" w14:textId="3C759E12" w:rsidR="00DC6E2B" w:rsidRPr="00D47213" w:rsidRDefault="00DC6E2B" w:rsidP="00DC6E2B">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b/>
          <w:bCs/>
          <w:sz w:val="24"/>
          <w:szCs w:val="24"/>
          <w:lang w:val="en-ID"/>
        </w:rPr>
        <w:t>Table 10.</w:t>
      </w:r>
      <w:r w:rsidRPr="00D47213">
        <w:rPr>
          <w:rFonts w:ascii="Baskerville Old Face" w:eastAsia="Cambria" w:hAnsi="Baskerville Old Face" w:cs="Cambria"/>
          <w:sz w:val="24"/>
          <w:szCs w:val="24"/>
          <w:lang w:val="en-ID"/>
        </w:rPr>
        <w:t xml:space="preserve"> Implementation Summary Model Independent Curriculum</w:t>
      </w:r>
    </w:p>
    <w:tbl>
      <w:tblPr>
        <w:tblW w:w="5000" w:type="pct"/>
        <w:jc w:val="center"/>
        <w:tblCellMar>
          <w:left w:w="0" w:type="dxa"/>
          <w:right w:w="0" w:type="dxa"/>
        </w:tblCellMar>
        <w:tblLook w:val="04A0" w:firstRow="1" w:lastRow="0" w:firstColumn="1" w:lastColumn="0" w:noHBand="0" w:noVBand="1"/>
      </w:tblPr>
      <w:tblGrid>
        <w:gridCol w:w="1311"/>
        <w:gridCol w:w="1068"/>
        <w:gridCol w:w="1500"/>
        <w:gridCol w:w="2666"/>
        <w:gridCol w:w="3094"/>
      </w:tblGrid>
      <w:tr w:rsidR="00DC6E2B" w:rsidRPr="00D47213" w14:paraId="02079418" w14:textId="77777777" w:rsidTr="005144C4">
        <w:trPr>
          <w:cantSplit/>
          <w:trHeight w:val="502"/>
          <w:jc w:val="center"/>
        </w:trPr>
        <w:tc>
          <w:tcPr>
            <w:tcW w:w="680" w:type="pct"/>
            <w:tcBorders>
              <w:top w:val="single" w:sz="4" w:space="0" w:color="auto"/>
              <w:bottom w:val="single" w:sz="4" w:space="0" w:color="auto"/>
            </w:tcBorders>
            <w:vAlign w:val="center"/>
            <w:hideMark/>
          </w:tcPr>
          <w:p w14:paraId="66CCDA1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554" w:type="pct"/>
            <w:tcBorders>
              <w:top w:val="single" w:sz="4" w:space="0" w:color="auto"/>
              <w:bottom w:val="single" w:sz="4" w:space="0" w:color="auto"/>
            </w:tcBorders>
            <w:vAlign w:val="center"/>
            <w:hideMark/>
          </w:tcPr>
          <w:p w14:paraId="5BD81AD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w:t>
            </w:r>
          </w:p>
        </w:tc>
        <w:tc>
          <w:tcPr>
            <w:tcW w:w="778" w:type="pct"/>
            <w:tcBorders>
              <w:top w:val="single" w:sz="4" w:space="0" w:color="auto"/>
              <w:bottom w:val="single" w:sz="4" w:space="0" w:color="auto"/>
            </w:tcBorders>
            <w:vAlign w:val="center"/>
            <w:hideMark/>
          </w:tcPr>
          <w:p w14:paraId="0C8BA76B"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 Square</w:t>
            </w:r>
          </w:p>
        </w:tc>
        <w:tc>
          <w:tcPr>
            <w:tcW w:w="1383" w:type="pct"/>
            <w:tcBorders>
              <w:top w:val="single" w:sz="4" w:space="0" w:color="auto"/>
              <w:bottom w:val="single" w:sz="4" w:space="0" w:color="auto"/>
            </w:tcBorders>
            <w:vAlign w:val="center"/>
            <w:hideMark/>
          </w:tcPr>
          <w:p w14:paraId="64A27582"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Adjusted R Square</w:t>
            </w:r>
          </w:p>
        </w:tc>
        <w:tc>
          <w:tcPr>
            <w:tcW w:w="1605" w:type="pct"/>
            <w:tcBorders>
              <w:top w:val="single" w:sz="4" w:space="0" w:color="auto"/>
              <w:bottom w:val="single" w:sz="4" w:space="0" w:color="auto"/>
            </w:tcBorders>
            <w:vAlign w:val="center"/>
            <w:hideMark/>
          </w:tcPr>
          <w:p w14:paraId="4782DA90"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Error of the Estimate</w:t>
            </w:r>
          </w:p>
        </w:tc>
      </w:tr>
      <w:tr w:rsidR="00DC6E2B" w:rsidRPr="00D47213" w14:paraId="56FE6BAE" w14:textId="77777777" w:rsidTr="005144C4">
        <w:trPr>
          <w:cantSplit/>
          <w:trHeight w:val="369"/>
          <w:jc w:val="center"/>
        </w:trPr>
        <w:tc>
          <w:tcPr>
            <w:tcW w:w="680" w:type="pct"/>
            <w:tcBorders>
              <w:top w:val="single" w:sz="4" w:space="0" w:color="auto"/>
              <w:bottom w:val="single" w:sz="4" w:space="0" w:color="auto"/>
            </w:tcBorders>
            <w:vAlign w:val="center"/>
            <w:hideMark/>
          </w:tcPr>
          <w:p w14:paraId="77C8FEA8"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554" w:type="pct"/>
            <w:tcBorders>
              <w:top w:val="single" w:sz="4" w:space="0" w:color="auto"/>
              <w:bottom w:val="single" w:sz="4" w:space="0" w:color="auto"/>
            </w:tcBorders>
            <w:vAlign w:val="center"/>
            <w:hideMark/>
          </w:tcPr>
          <w:p w14:paraId="74DE7E19"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.517 </w:t>
            </w:r>
            <w:r w:rsidRPr="00D47213">
              <w:rPr>
                <w:rFonts w:ascii="Baskerville Old Face" w:eastAsia="Cambria" w:hAnsi="Baskerville Old Face" w:cs="Cambria"/>
                <w:sz w:val="24"/>
                <w:szCs w:val="24"/>
                <w:vertAlign w:val="superscript"/>
                <w:lang w:val="en-ID"/>
              </w:rPr>
              <w:t>a</w:t>
            </w:r>
          </w:p>
        </w:tc>
        <w:tc>
          <w:tcPr>
            <w:tcW w:w="778" w:type="pct"/>
            <w:tcBorders>
              <w:top w:val="single" w:sz="4" w:space="0" w:color="auto"/>
              <w:bottom w:val="single" w:sz="4" w:space="0" w:color="auto"/>
            </w:tcBorders>
            <w:vAlign w:val="center"/>
            <w:hideMark/>
          </w:tcPr>
          <w:p w14:paraId="16987ACC"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.267</w:t>
            </w:r>
          </w:p>
        </w:tc>
        <w:tc>
          <w:tcPr>
            <w:tcW w:w="1383" w:type="pct"/>
            <w:tcBorders>
              <w:top w:val="single" w:sz="4" w:space="0" w:color="auto"/>
              <w:bottom w:val="single" w:sz="4" w:space="0" w:color="auto"/>
            </w:tcBorders>
            <w:vAlign w:val="center"/>
            <w:hideMark/>
          </w:tcPr>
          <w:p w14:paraId="72ABA55F"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.260</w:t>
            </w:r>
          </w:p>
        </w:tc>
        <w:tc>
          <w:tcPr>
            <w:tcW w:w="1605" w:type="pct"/>
            <w:tcBorders>
              <w:top w:val="single" w:sz="4" w:space="0" w:color="auto"/>
              <w:bottom w:val="single" w:sz="4" w:space="0" w:color="auto"/>
            </w:tcBorders>
            <w:vAlign w:val="center"/>
            <w:hideMark/>
          </w:tcPr>
          <w:p w14:paraId="3DF40F5E" w14:textId="77777777" w:rsidR="00DC6E2B" w:rsidRPr="00D47213" w:rsidRDefault="00DC6E2B" w:rsidP="00D10F08">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5,172</w:t>
            </w:r>
          </w:p>
        </w:tc>
      </w:tr>
    </w:tbl>
    <w:p w14:paraId="0A9591C3" w14:textId="2C90D223" w:rsidR="00DC6E2B" w:rsidRPr="00D47213" w:rsidRDefault="00DC6E2B" w:rsidP="00931879">
      <w:pPr>
        <w:jc w:val="both"/>
        <w:rPr>
          <w:rFonts w:ascii="Baskerville Old Face" w:eastAsia="Cambria" w:hAnsi="Baskerville Old Face" w:cs="Cambria"/>
          <w:i/>
          <w:iCs/>
          <w:sz w:val="24"/>
          <w:szCs w:val="24"/>
          <w:lang w:val="en-ID"/>
        </w:rPr>
      </w:pPr>
      <w:r w:rsidRPr="00D47213">
        <w:rPr>
          <w:rFonts w:ascii="Baskerville Old Face" w:eastAsia="Cambria" w:hAnsi="Baskerville Old Face" w:cs="Cambria"/>
          <w:i/>
          <w:iCs/>
          <w:sz w:val="24"/>
          <w:szCs w:val="24"/>
          <w:lang w:val="en-ID"/>
        </w:rPr>
        <w:t>( Source : processed data with SPSS Version 26, year 2026)</w:t>
      </w:r>
    </w:p>
    <w:p w14:paraId="5B18D76E" w14:textId="77777777" w:rsidR="00931879" w:rsidRDefault="00931879" w:rsidP="00DC6E2B">
      <w:pPr>
        <w:ind w:firstLine="720"/>
        <w:jc w:val="both"/>
        <w:rPr>
          <w:rFonts w:ascii="Baskerville Old Face" w:eastAsia="Cambria" w:hAnsi="Baskerville Old Face" w:cs="Cambria"/>
          <w:sz w:val="24"/>
          <w:szCs w:val="24"/>
          <w:lang w:val="en-ID"/>
        </w:rPr>
      </w:pPr>
    </w:p>
    <w:p w14:paraId="3914ADA6" w14:textId="6525180F" w:rsidR="00DC6E2B" w:rsidRPr="00D47213" w:rsidRDefault="00DC6E2B" w:rsidP="00931879">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The results of the summary model analysis show The R value is 0.517, which indicates existence connection positive currently between ICT use and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 Square value of 0.267 indicates that the use of ICT is capable explains 26.7% of the variation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while the remaining 73.3% explained by other variables outside the model. The Adjusted R Square value of 0.260 shows that after customized with amount samples and variables research</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ability of the model in explain quality learning still relatively stable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Besides that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Std. Error of the Estimate value of 5.172 shows level deviation model predictions against mark current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regression model This can it is said Enough worthy used For explain influence use of ICT for quality learning</w:t>
      </w:r>
      <w:r w:rsidR="00D10F08">
        <w:rPr>
          <w:rFonts w:ascii="Baskerville Old Face" w:eastAsia="Cambria" w:hAnsi="Baskerville Old Face" w:cs="Cambria"/>
          <w:sz w:val="24"/>
          <w:szCs w:val="24"/>
          <w:lang w:val="en-ID"/>
        </w:rPr>
        <w:t>.</w:t>
      </w:r>
    </w:p>
    <w:p w14:paraId="00E78F95" w14:textId="77777777" w:rsidR="00931879" w:rsidRPr="00931879" w:rsidRDefault="00931879" w:rsidP="00DC6E2B">
      <w:pPr>
        <w:jc w:val="center"/>
        <w:rPr>
          <w:rFonts w:ascii="Baskerville Old Face" w:eastAsia="Cambria" w:hAnsi="Baskerville Old Face" w:cs="Cambria"/>
          <w:sz w:val="12"/>
          <w:szCs w:val="12"/>
          <w:lang w:val="en-ID"/>
        </w:rPr>
      </w:pPr>
    </w:p>
    <w:p w14:paraId="69568641" w14:textId="4FA826DB" w:rsidR="00DC6E2B" w:rsidRPr="00D47213" w:rsidRDefault="00DC6E2B" w:rsidP="00DC6E2B">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b/>
          <w:bCs/>
          <w:sz w:val="24"/>
          <w:szCs w:val="24"/>
          <w:lang w:val="en-ID"/>
        </w:rPr>
        <w:t>Table 11.</w:t>
      </w:r>
      <w:r w:rsidRPr="00D47213">
        <w:rPr>
          <w:rFonts w:ascii="Baskerville Old Face" w:eastAsia="Cambria" w:hAnsi="Baskerville Old Face" w:cs="Cambria"/>
          <w:sz w:val="24"/>
          <w:szCs w:val="24"/>
          <w:lang w:val="en-ID"/>
        </w:rPr>
        <w:t xml:space="preserve"> Results of the simple linear regression analysis coefficient test of the variable Quality of Facilities and Infrastructure on the quality of learning</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770"/>
        <w:gridCol w:w="1267"/>
        <w:gridCol w:w="860"/>
        <w:gridCol w:w="1153"/>
        <w:gridCol w:w="1544"/>
        <w:gridCol w:w="669"/>
        <w:gridCol w:w="1080"/>
        <w:gridCol w:w="1197"/>
        <w:gridCol w:w="1099"/>
      </w:tblGrid>
      <w:tr w:rsidR="00DC6E2B" w:rsidRPr="00D47213" w14:paraId="5F046460" w14:textId="77777777" w:rsidTr="005144C4">
        <w:trPr>
          <w:cantSplit/>
          <w:trHeight w:val="768"/>
          <w:jc w:val="center"/>
        </w:trPr>
        <w:tc>
          <w:tcPr>
            <w:tcW w:w="1057" w:type="pct"/>
            <w:gridSpan w:val="2"/>
            <w:vMerge w:val="restart"/>
            <w:tcBorders>
              <w:top w:val="single" w:sz="4" w:space="0" w:color="auto"/>
              <w:left w:val="nil"/>
              <w:bottom w:val="nil"/>
              <w:right w:val="nil"/>
            </w:tcBorders>
            <w:vAlign w:val="center"/>
            <w:hideMark/>
          </w:tcPr>
          <w:p w14:paraId="540C2072"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1044" w:type="pct"/>
            <w:gridSpan w:val="2"/>
            <w:tcBorders>
              <w:top w:val="single" w:sz="4" w:space="0" w:color="auto"/>
              <w:left w:val="nil"/>
              <w:bottom w:val="nil"/>
              <w:right w:val="single" w:sz="8" w:space="0" w:color="E0E0E0"/>
            </w:tcBorders>
            <w:vAlign w:val="center"/>
            <w:hideMark/>
          </w:tcPr>
          <w:p w14:paraId="70459F6F"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Unstandardized Coefficients</w:t>
            </w:r>
          </w:p>
        </w:tc>
        <w:tc>
          <w:tcPr>
            <w:tcW w:w="801" w:type="pct"/>
            <w:tcBorders>
              <w:top w:val="single" w:sz="4" w:space="0" w:color="auto"/>
              <w:left w:val="single" w:sz="8" w:space="0" w:color="E0E0E0"/>
              <w:bottom w:val="nil"/>
              <w:right w:val="single" w:sz="8" w:space="0" w:color="E0E0E0"/>
            </w:tcBorders>
            <w:vAlign w:val="center"/>
            <w:hideMark/>
          </w:tcPr>
          <w:p w14:paraId="3A02665A"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Standardized Coefficients</w:t>
            </w:r>
          </w:p>
        </w:tc>
        <w:tc>
          <w:tcPr>
            <w:tcW w:w="347" w:type="pct"/>
            <w:vMerge w:val="restart"/>
            <w:tcBorders>
              <w:top w:val="single" w:sz="4" w:space="0" w:color="auto"/>
              <w:left w:val="single" w:sz="8" w:space="0" w:color="E0E0E0"/>
              <w:bottom w:val="nil"/>
              <w:right w:val="single" w:sz="8" w:space="0" w:color="E0E0E0"/>
            </w:tcBorders>
            <w:vAlign w:val="center"/>
            <w:hideMark/>
          </w:tcPr>
          <w:p w14:paraId="091D5C72"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w:t>
            </w:r>
          </w:p>
        </w:tc>
        <w:tc>
          <w:tcPr>
            <w:tcW w:w="560" w:type="pct"/>
            <w:vMerge w:val="restart"/>
            <w:tcBorders>
              <w:top w:val="single" w:sz="4" w:space="0" w:color="auto"/>
              <w:left w:val="single" w:sz="8" w:space="0" w:color="E0E0E0"/>
              <w:bottom w:val="nil"/>
              <w:right w:val="single" w:sz="8" w:space="0" w:color="E0E0E0"/>
            </w:tcBorders>
            <w:vAlign w:val="center"/>
            <w:hideMark/>
          </w:tcPr>
          <w:p w14:paraId="46703B6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w:t>
            </w:r>
          </w:p>
        </w:tc>
        <w:tc>
          <w:tcPr>
            <w:tcW w:w="1191" w:type="pct"/>
            <w:gridSpan w:val="2"/>
            <w:tcBorders>
              <w:top w:val="single" w:sz="4" w:space="0" w:color="auto"/>
              <w:left w:val="single" w:sz="8" w:space="0" w:color="E0E0E0"/>
              <w:bottom w:val="nil"/>
              <w:right w:val="nil"/>
            </w:tcBorders>
            <w:vAlign w:val="center"/>
            <w:hideMark/>
          </w:tcPr>
          <w:p w14:paraId="5AA3F53F"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Collinearity Statistics</w:t>
            </w:r>
          </w:p>
        </w:tc>
      </w:tr>
      <w:tr w:rsidR="00DC6E2B" w:rsidRPr="00D47213" w14:paraId="7B2CA12E" w14:textId="77777777" w:rsidTr="005144C4">
        <w:trPr>
          <w:cantSplit/>
          <w:trHeight w:val="169"/>
          <w:jc w:val="center"/>
        </w:trPr>
        <w:tc>
          <w:tcPr>
            <w:tcW w:w="1057" w:type="pct"/>
            <w:gridSpan w:val="2"/>
            <w:vMerge/>
            <w:tcBorders>
              <w:top w:val="nil"/>
              <w:left w:val="nil"/>
              <w:bottom w:val="nil"/>
              <w:right w:val="nil"/>
            </w:tcBorders>
            <w:vAlign w:val="center"/>
            <w:hideMark/>
          </w:tcPr>
          <w:p w14:paraId="468BA5B2" w14:textId="77777777" w:rsidR="00DC6E2B" w:rsidRPr="00D47213" w:rsidRDefault="00DC6E2B" w:rsidP="00931879">
            <w:pPr>
              <w:jc w:val="center"/>
              <w:rPr>
                <w:rFonts w:ascii="Baskerville Old Face" w:eastAsia="Cambria" w:hAnsi="Baskerville Old Face" w:cs="Cambria"/>
                <w:sz w:val="24"/>
                <w:szCs w:val="24"/>
                <w:lang w:val="en-ID"/>
              </w:rPr>
            </w:pPr>
          </w:p>
        </w:tc>
        <w:tc>
          <w:tcPr>
            <w:tcW w:w="446" w:type="pct"/>
            <w:tcBorders>
              <w:top w:val="nil"/>
              <w:left w:val="nil"/>
              <w:bottom w:val="single" w:sz="8" w:space="0" w:color="152935"/>
              <w:right w:val="single" w:sz="8" w:space="0" w:color="E0E0E0"/>
            </w:tcBorders>
            <w:vAlign w:val="center"/>
            <w:hideMark/>
          </w:tcPr>
          <w:p w14:paraId="766069F0"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w:t>
            </w:r>
          </w:p>
        </w:tc>
        <w:tc>
          <w:tcPr>
            <w:tcW w:w="598" w:type="pct"/>
            <w:tcBorders>
              <w:top w:val="nil"/>
              <w:left w:val="single" w:sz="8" w:space="0" w:color="E0E0E0"/>
              <w:bottom w:val="single" w:sz="8" w:space="0" w:color="152935"/>
              <w:right w:val="single" w:sz="8" w:space="0" w:color="E0E0E0"/>
            </w:tcBorders>
            <w:vAlign w:val="center"/>
            <w:hideMark/>
          </w:tcPr>
          <w:p w14:paraId="6BCD18F1"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Std. Error</w:t>
            </w:r>
          </w:p>
        </w:tc>
        <w:tc>
          <w:tcPr>
            <w:tcW w:w="801" w:type="pct"/>
            <w:tcBorders>
              <w:top w:val="nil"/>
              <w:left w:val="single" w:sz="8" w:space="0" w:color="E0E0E0"/>
              <w:bottom w:val="single" w:sz="8" w:space="0" w:color="152935"/>
              <w:right w:val="single" w:sz="8" w:space="0" w:color="E0E0E0"/>
            </w:tcBorders>
            <w:vAlign w:val="center"/>
            <w:hideMark/>
          </w:tcPr>
          <w:p w14:paraId="3642C00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Beta</w:t>
            </w:r>
          </w:p>
        </w:tc>
        <w:tc>
          <w:tcPr>
            <w:tcW w:w="347" w:type="pct"/>
            <w:vMerge/>
            <w:tcBorders>
              <w:top w:val="nil"/>
              <w:left w:val="single" w:sz="8" w:space="0" w:color="E0E0E0"/>
              <w:bottom w:val="nil"/>
              <w:right w:val="single" w:sz="8" w:space="0" w:color="E0E0E0"/>
            </w:tcBorders>
            <w:vAlign w:val="center"/>
            <w:hideMark/>
          </w:tcPr>
          <w:p w14:paraId="39CD845E" w14:textId="77777777" w:rsidR="00DC6E2B" w:rsidRPr="00D47213" w:rsidRDefault="00DC6E2B" w:rsidP="00931879">
            <w:pPr>
              <w:jc w:val="center"/>
              <w:rPr>
                <w:rFonts w:ascii="Baskerville Old Face" w:eastAsia="Cambria" w:hAnsi="Baskerville Old Face" w:cs="Cambria"/>
                <w:sz w:val="24"/>
                <w:szCs w:val="24"/>
                <w:lang w:val="en-ID"/>
              </w:rPr>
            </w:pPr>
          </w:p>
        </w:tc>
        <w:tc>
          <w:tcPr>
            <w:tcW w:w="560" w:type="pct"/>
            <w:vMerge/>
            <w:tcBorders>
              <w:top w:val="nil"/>
              <w:left w:val="single" w:sz="8" w:space="0" w:color="E0E0E0"/>
              <w:bottom w:val="nil"/>
              <w:right w:val="single" w:sz="8" w:space="0" w:color="E0E0E0"/>
            </w:tcBorders>
            <w:vAlign w:val="center"/>
            <w:hideMark/>
          </w:tcPr>
          <w:p w14:paraId="1C5BC9FD" w14:textId="77777777" w:rsidR="00DC6E2B" w:rsidRPr="00D47213" w:rsidRDefault="00DC6E2B" w:rsidP="00931879">
            <w:pPr>
              <w:jc w:val="center"/>
              <w:rPr>
                <w:rFonts w:ascii="Baskerville Old Face" w:eastAsia="Cambria" w:hAnsi="Baskerville Old Face" w:cs="Cambria"/>
                <w:sz w:val="24"/>
                <w:szCs w:val="24"/>
                <w:lang w:val="en-ID"/>
              </w:rPr>
            </w:pPr>
          </w:p>
        </w:tc>
        <w:tc>
          <w:tcPr>
            <w:tcW w:w="621" w:type="pct"/>
            <w:tcBorders>
              <w:top w:val="nil"/>
              <w:left w:val="single" w:sz="8" w:space="0" w:color="E0E0E0"/>
              <w:bottom w:val="single" w:sz="8" w:space="0" w:color="152935"/>
              <w:right w:val="single" w:sz="8" w:space="0" w:color="E0E0E0"/>
            </w:tcBorders>
            <w:vAlign w:val="center"/>
            <w:hideMark/>
          </w:tcPr>
          <w:p w14:paraId="0860BF7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Tolerance</w:t>
            </w:r>
          </w:p>
        </w:tc>
        <w:tc>
          <w:tcPr>
            <w:tcW w:w="570" w:type="pct"/>
            <w:tcBorders>
              <w:top w:val="nil"/>
              <w:left w:val="single" w:sz="8" w:space="0" w:color="E0E0E0"/>
              <w:bottom w:val="single" w:sz="8" w:space="0" w:color="152935"/>
              <w:right w:val="nil"/>
            </w:tcBorders>
            <w:vAlign w:val="center"/>
            <w:hideMark/>
          </w:tcPr>
          <w:p w14:paraId="029DCF7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VIF</w:t>
            </w:r>
          </w:p>
        </w:tc>
      </w:tr>
      <w:tr w:rsidR="00DC6E2B" w:rsidRPr="00D47213" w14:paraId="1B17E0DF" w14:textId="77777777" w:rsidTr="005144C4">
        <w:trPr>
          <w:cantSplit/>
          <w:trHeight w:val="383"/>
          <w:jc w:val="center"/>
        </w:trPr>
        <w:tc>
          <w:tcPr>
            <w:tcW w:w="400" w:type="pct"/>
            <w:vMerge w:val="restart"/>
            <w:tcBorders>
              <w:top w:val="single" w:sz="8" w:space="0" w:color="152935"/>
              <w:left w:val="nil"/>
              <w:bottom w:val="single" w:sz="8" w:space="0" w:color="152935"/>
              <w:right w:val="nil"/>
            </w:tcBorders>
            <w:vAlign w:val="center"/>
            <w:hideMark/>
          </w:tcPr>
          <w:p w14:paraId="7A304E35"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657" w:type="pct"/>
            <w:tcBorders>
              <w:top w:val="single" w:sz="8" w:space="0" w:color="152935"/>
              <w:left w:val="nil"/>
              <w:bottom w:val="single" w:sz="8" w:space="0" w:color="AEAEAE"/>
              <w:right w:val="nil"/>
            </w:tcBorders>
            <w:vAlign w:val="center"/>
            <w:hideMark/>
          </w:tcPr>
          <w:p w14:paraId="2A3538C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(Constant)</w:t>
            </w:r>
          </w:p>
        </w:tc>
        <w:tc>
          <w:tcPr>
            <w:tcW w:w="446" w:type="pct"/>
            <w:tcBorders>
              <w:top w:val="single" w:sz="8" w:space="0" w:color="152935"/>
              <w:left w:val="nil"/>
              <w:bottom w:val="single" w:sz="8" w:space="0" w:color="AEAEAE"/>
              <w:right w:val="single" w:sz="8" w:space="0" w:color="E0E0E0"/>
            </w:tcBorders>
            <w:vAlign w:val="center"/>
            <w:hideMark/>
          </w:tcPr>
          <w:p w14:paraId="56CFBE9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85,553</w:t>
            </w:r>
          </w:p>
        </w:tc>
        <w:tc>
          <w:tcPr>
            <w:tcW w:w="598" w:type="pct"/>
            <w:tcBorders>
              <w:top w:val="single" w:sz="8" w:space="0" w:color="152935"/>
              <w:left w:val="single" w:sz="8" w:space="0" w:color="E0E0E0"/>
              <w:bottom w:val="single" w:sz="8" w:space="0" w:color="AEAEAE"/>
              <w:right w:val="single" w:sz="8" w:space="0" w:color="E0E0E0"/>
            </w:tcBorders>
            <w:vAlign w:val="center"/>
            <w:hideMark/>
          </w:tcPr>
          <w:p w14:paraId="7ACFD60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8,157</w:t>
            </w:r>
          </w:p>
        </w:tc>
        <w:tc>
          <w:tcPr>
            <w:tcW w:w="801" w:type="pct"/>
            <w:tcBorders>
              <w:top w:val="single" w:sz="8" w:space="0" w:color="152935"/>
              <w:left w:val="single" w:sz="8" w:space="0" w:color="E0E0E0"/>
              <w:bottom w:val="single" w:sz="8" w:space="0" w:color="AEAEAE"/>
              <w:right w:val="single" w:sz="8" w:space="0" w:color="E0E0E0"/>
            </w:tcBorders>
            <w:vAlign w:val="center"/>
          </w:tcPr>
          <w:p w14:paraId="12530B09" w14:textId="77777777" w:rsidR="00DC6E2B" w:rsidRPr="00D47213" w:rsidRDefault="00DC6E2B" w:rsidP="00931879">
            <w:pPr>
              <w:jc w:val="center"/>
              <w:rPr>
                <w:rFonts w:ascii="Baskerville Old Face" w:eastAsia="Cambria" w:hAnsi="Baskerville Old Face" w:cs="Cambria"/>
                <w:sz w:val="24"/>
                <w:szCs w:val="24"/>
                <w:lang w:val="en-ID"/>
              </w:rPr>
            </w:pPr>
          </w:p>
        </w:tc>
        <w:tc>
          <w:tcPr>
            <w:tcW w:w="347" w:type="pct"/>
            <w:tcBorders>
              <w:top w:val="single" w:sz="8" w:space="0" w:color="152935"/>
              <w:left w:val="single" w:sz="8" w:space="0" w:color="E0E0E0"/>
              <w:bottom w:val="single" w:sz="8" w:space="0" w:color="AEAEAE"/>
              <w:right w:val="single" w:sz="8" w:space="0" w:color="E0E0E0"/>
            </w:tcBorders>
            <w:vAlign w:val="center"/>
            <w:hideMark/>
          </w:tcPr>
          <w:p w14:paraId="16DB242D"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10,488</w:t>
            </w:r>
          </w:p>
        </w:tc>
        <w:tc>
          <w:tcPr>
            <w:tcW w:w="560" w:type="pct"/>
            <w:tcBorders>
              <w:top w:val="single" w:sz="8" w:space="0" w:color="152935"/>
              <w:left w:val="single" w:sz="8" w:space="0" w:color="E0E0E0"/>
              <w:bottom w:val="single" w:sz="8" w:space="0" w:color="AEAEAE"/>
              <w:right w:val="single" w:sz="8" w:space="0" w:color="E0E0E0"/>
            </w:tcBorders>
            <w:vAlign w:val="center"/>
            <w:hideMark/>
          </w:tcPr>
          <w:p w14:paraId="700785E5"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621" w:type="pct"/>
            <w:tcBorders>
              <w:top w:val="single" w:sz="8" w:space="0" w:color="152935"/>
              <w:left w:val="single" w:sz="8" w:space="0" w:color="E0E0E0"/>
              <w:bottom w:val="single" w:sz="8" w:space="0" w:color="AEAEAE"/>
              <w:right w:val="single" w:sz="8" w:space="0" w:color="E0E0E0"/>
            </w:tcBorders>
            <w:vAlign w:val="center"/>
          </w:tcPr>
          <w:p w14:paraId="6BA8A131" w14:textId="77777777" w:rsidR="00DC6E2B" w:rsidRPr="00D47213" w:rsidRDefault="00DC6E2B" w:rsidP="00931879">
            <w:pPr>
              <w:jc w:val="center"/>
              <w:rPr>
                <w:rFonts w:ascii="Baskerville Old Face" w:eastAsia="Cambria" w:hAnsi="Baskerville Old Face" w:cs="Cambria"/>
                <w:sz w:val="24"/>
                <w:szCs w:val="24"/>
                <w:lang w:val="en-ID"/>
              </w:rPr>
            </w:pPr>
          </w:p>
        </w:tc>
        <w:tc>
          <w:tcPr>
            <w:tcW w:w="570" w:type="pct"/>
            <w:tcBorders>
              <w:top w:val="single" w:sz="8" w:space="0" w:color="152935"/>
              <w:left w:val="single" w:sz="8" w:space="0" w:color="E0E0E0"/>
              <w:bottom w:val="single" w:sz="8" w:space="0" w:color="AEAEAE"/>
              <w:right w:val="nil"/>
            </w:tcBorders>
            <w:vAlign w:val="center"/>
          </w:tcPr>
          <w:p w14:paraId="3F3CD082" w14:textId="77777777" w:rsidR="00DC6E2B" w:rsidRPr="00D47213" w:rsidRDefault="00DC6E2B" w:rsidP="00931879">
            <w:pPr>
              <w:jc w:val="center"/>
              <w:rPr>
                <w:rFonts w:ascii="Baskerville Old Face" w:eastAsia="Cambria" w:hAnsi="Baskerville Old Face" w:cs="Cambria"/>
                <w:sz w:val="24"/>
                <w:szCs w:val="24"/>
                <w:lang w:val="en-ID"/>
              </w:rPr>
            </w:pPr>
          </w:p>
        </w:tc>
      </w:tr>
      <w:tr w:rsidR="00DC6E2B" w:rsidRPr="00D47213" w14:paraId="08CB9664" w14:textId="77777777" w:rsidTr="005144C4">
        <w:trPr>
          <w:cantSplit/>
          <w:trHeight w:val="545"/>
          <w:jc w:val="center"/>
        </w:trPr>
        <w:tc>
          <w:tcPr>
            <w:tcW w:w="400" w:type="pct"/>
            <w:vMerge/>
            <w:tcBorders>
              <w:top w:val="single" w:sz="8" w:space="0" w:color="152935"/>
              <w:left w:val="nil"/>
              <w:bottom w:val="single" w:sz="8" w:space="0" w:color="152935"/>
              <w:right w:val="nil"/>
            </w:tcBorders>
            <w:vAlign w:val="center"/>
            <w:hideMark/>
          </w:tcPr>
          <w:p w14:paraId="7E1A9616" w14:textId="77777777" w:rsidR="00DC6E2B" w:rsidRPr="00D47213" w:rsidRDefault="00DC6E2B" w:rsidP="00931879">
            <w:pPr>
              <w:jc w:val="center"/>
              <w:rPr>
                <w:rFonts w:ascii="Baskerville Old Face" w:eastAsia="Cambria" w:hAnsi="Baskerville Old Face" w:cs="Cambria"/>
                <w:sz w:val="24"/>
                <w:szCs w:val="24"/>
                <w:lang w:val="en-ID"/>
              </w:rPr>
            </w:pPr>
          </w:p>
        </w:tc>
        <w:tc>
          <w:tcPr>
            <w:tcW w:w="657" w:type="pct"/>
            <w:tcBorders>
              <w:top w:val="single" w:sz="8" w:space="0" w:color="AEAEAE"/>
              <w:left w:val="nil"/>
              <w:bottom w:val="single" w:sz="8" w:space="0" w:color="152935"/>
              <w:right w:val="nil"/>
            </w:tcBorders>
            <w:vAlign w:val="center"/>
            <w:hideMark/>
          </w:tcPr>
          <w:p w14:paraId="5CFCCA58"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Quality infrastructure</w:t>
            </w:r>
          </w:p>
        </w:tc>
        <w:tc>
          <w:tcPr>
            <w:tcW w:w="446" w:type="pct"/>
            <w:tcBorders>
              <w:top w:val="single" w:sz="8" w:space="0" w:color="AEAEAE"/>
              <w:left w:val="nil"/>
              <w:bottom w:val="single" w:sz="8" w:space="0" w:color="152935"/>
              <w:right w:val="single" w:sz="8" w:space="0" w:color="E0E0E0"/>
            </w:tcBorders>
            <w:vAlign w:val="center"/>
            <w:hideMark/>
          </w:tcPr>
          <w:p w14:paraId="68EB71A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.309</w:t>
            </w:r>
          </w:p>
        </w:tc>
        <w:tc>
          <w:tcPr>
            <w:tcW w:w="598" w:type="pct"/>
            <w:tcBorders>
              <w:top w:val="single" w:sz="8" w:space="0" w:color="AEAEAE"/>
              <w:left w:val="single" w:sz="8" w:space="0" w:color="E0E0E0"/>
              <w:bottom w:val="single" w:sz="8" w:space="0" w:color="152935"/>
              <w:right w:val="single" w:sz="8" w:space="0" w:color="E0E0E0"/>
            </w:tcBorders>
            <w:vAlign w:val="center"/>
            <w:hideMark/>
          </w:tcPr>
          <w:p w14:paraId="2B73EBC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.073</w:t>
            </w:r>
          </w:p>
        </w:tc>
        <w:tc>
          <w:tcPr>
            <w:tcW w:w="801" w:type="pct"/>
            <w:tcBorders>
              <w:top w:val="single" w:sz="8" w:space="0" w:color="AEAEAE"/>
              <w:left w:val="single" w:sz="8" w:space="0" w:color="E0E0E0"/>
              <w:bottom w:val="single" w:sz="8" w:space="0" w:color="152935"/>
              <w:right w:val="single" w:sz="8" w:space="0" w:color="E0E0E0"/>
            </w:tcBorders>
            <w:vAlign w:val="center"/>
            <w:hideMark/>
          </w:tcPr>
          <w:p w14:paraId="192948E0"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.388</w:t>
            </w:r>
          </w:p>
        </w:tc>
        <w:tc>
          <w:tcPr>
            <w:tcW w:w="347" w:type="pct"/>
            <w:tcBorders>
              <w:top w:val="single" w:sz="8" w:space="0" w:color="AEAEAE"/>
              <w:left w:val="single" w:sz="8" w:space="0" w:color="E0E0E0"/>
              <w:bottom w:val="single" w:sz="8" w:space="0" w:color="152935"/>
              <w:right w:val="single" w:sz="8" w:space="0" w:color="E0E0E0"/>
            </w:tcBorders>
            <w:vAlign w:val="center"/>
            <w:hideMark/>
          </w:tcPr>
          <w:p w14:paraId="5FDD7E75"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4,209</w:t>
            </w:r>
          </w:p>
        </w:tc>
        <w:tc>
          <w:tcPr>
            <w:tcW w:w="560" w:type="pct"/>
            <w:tcBorders>
              <w:top w:val="single" w:sz="8" w:space="0" w:color="AEAEAE"/>
              <w:left w:val="single" w:sz="8" w:space="0" w:color="E0E0E0"/>
              <w:bottom w:val="single" w:sz="8" w:space="0" w:color="152935"/>
              <w:right w:val="single" w:sz="8" w:space="0" w:color="E0E0E0"/>
            </w:tcBorders>
            <w:vAlign w:val="center"/>
            <w:hideMark/>
          </w:tcPr>
          <w:p w14:paraId="4F493A7A"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.000</w:t>
            </w:r>
          </w:p>
        </w:tc>
        <w:tc>
          <w:tcPr>
            <w:tcW w:w="621" w:type="pct"/>
            <w:tcBorders>
              <w:top w:val="single" w:sz="8" w:space="0" w:color="AEAEAE"/>
              <w:left w:val="single" w:sz="8" w:space="0" w:color="E0E0E0"/>
              <w:bottom w:val="single" w:sz="8" w:space="0" w:color="152935"/>
              <w:right w:val="single" w:sz="8" w:space="0" w:color="E0E0E0"/>
            </w:tcBorders>
            <w:vAlign w:val="center"/>
            <w:hideMark/>
          </w:tcPr>
          <w:p w14:paraId="47552A58"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c>
          <w:tcPr>
            <w:tcW w:w="570" w:type="pct"/>
            <w:tcBorders>
              <w:top w:val="single" w:sz="8" w:space="0" w:color="AEAEAE"/>
              <w:left w:val="single" w:sz="8" w:space="0" w:color="E0E0E0"/>
              <w:bottom w:val="single" w:sz="8" w:space="0" w:color="152935"/>
              <w:right w:val="nil"/>
            </w:tcBorders>
            <w:vAlign w:val="center"/>
            <w:hideMark/>
          </w:tcPr>
          <w:p w14:paraId="29464B83"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1,000</w:t>
            </w:r>
          </w:p>
        </w:tc>
      </w:tr>
    </w:tbl>
    <w:p w14:paraId="3B809ED8" w14:textId="317BCDA2" w:rsidR="00DC6E2B" w:rsidRPr="00D47213" w:rsidRDefault="00DC6E2B" w:rsidP="00C71FE3">
      <w:pPr>
        <w:jc w:val="both"/>
        <w:rPr>
          <w:rFonts w:ascii="Baskerville Old Face" w:eastAsia="Cambria" w:hAnsi="Baskerville Old Face" w:cs="Cambria"/>
          <w:i/>
          <w:iCs/>
          <w:sz w:val="24"/>
          <w:szCs w:val="24"/>
          <w:lang w:val="en-ID"/>
        </w:rPr>
      </w:pPr>
      <w:r w:rsidRPr="00D47213">
        <w:rPr>
          <w:rFonts w:ascii="Baskerville Old Face" w:eastAsia="Cambria" w:hAnsi="Baskerville Old Face" w:cs="Cambria"/>
          <w:i/>
          <w:iCs/>
          <w:sz w:val="24"/>
          <w:szCs w:val="24"/>
          <w:lang w:val="en-ID"/>
        </w:rPr>
        <w:t>( Source : Processed data using SPSS version 26, year 2026)</w:t>
      </w:r>
    </w:p>
    <w:p w14:paraId="7B4AED3B" w14:textId="77777777" w:rsidR="00931879" w:rsidRDefault="00931879" w:rsidP="00C71FE3">
      <w:pPr>
        <w:ind w:firstLine="720"/>
        <w:jc w:val="both"/>
        <w:rPr>
          <w:rFonts w:ascii="Baskerville Old Face" w:eastAsia="Cambria" w:hAnsi="Baskerville Old Face" w:cs="Cambria"/>
          <w:sz w:val="24"/>
          <w:szCs w:val="24"/>
          <w:lang w:val="en-ID"/>
        </w:rPr>
      </w:pPr>
    </w:p>
    <w:p w14:paraId="3DBA826B" w14:textId="650E93DA" w:rsidR="00DC6E2B" w:rsidRDefault="00DC6E2B" w:rsidP="00931879">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The results of the linear regression analysis indicate that the quality of infrastructure has a positive effect on the quality of learning. The constant value of 85.553 indicates that if the quality of infrastructure is considered constant, the quality of learning is at 85.553. The regression coefficient of </w:t>
      </w:r>
      <w:r w:rsidRPr="00D47213">
        <w:rPr>
          <w:rFonts w:ascii="Baskerville Old Face" w:eastAsia="Cambria" w:hAnsi="Baskerville Old Face" w:cs="Cambria"/>
          <w:sz w:val="24"/>
          <w:szCs w:val="24"/>
          <w:lang w:val="en-ID"/>
        </w:rPr>
        <w:lastRenderedPageBreak/>
        <w:t>infrastructure quality is 0.309, indicating that every one unit increase in infrastructure quality will increase the quality of learning by 0.309 units. The partial test results show a calculated t value of 4.209 with a significance of 0.000, so it can be concluded that the quality of infrastructure has a positive and significant effect on the quality of learning. The standardized beta value of 0.388 shows that the influence of this variable is quite strong, while the tolerance and VIF values of 1.000 each indicate that the regression model is free from multicollinearity problems.</w:t>
      </w:r>
    </w:p>
    <w:p w14:paraId="5845BA07" w14:textId="77777777" w:rsidR="00931879" w:rsidRPr="00931879" w:rsidRDefault="00931879" w:rsidP="00931879">
      <w:pPr>
        <w:ind w:firstLine="567"/>
        <w:jc w:val="both"/>
        <w:rPr>
          <w:rFonts w:ascii="Baskerville Old Face" w:eastAsia="Cambria" w:hAnsi="Baskerville Old Face" w:cs="Cambria"/>
          <w:sz w:val="12"/>
          <w:szCs w:val="12"/>
          <w:lang w:val="en-ID"/>
        </w:rPr>
      </w:pPr>
    </w:p>
    <w:p w14:paraId="372A0ED9" w14:textId="27ED5C30" w:rsidR="00DC6E2B" w:rsidRPr="00D47213" w:rsidRDefault="00DC6E2B" w:rsidP="00C71FE3">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b/>
          <w:bCs/>
          <w:sz w:val="24"/>
          <w:szCs w:val="24"/>
          <w:lang w:val="en-ID"/>
        </w:rPr>
        <w:t xml:space="preserve">Table 12. </w:t>
      </w:r>
      <w:r w:rsidRPr="00D47213">
        <w:rPr>
          <w:rFonts w:ascii="Baskerville Old Face" w:eastAsia="Cambria" w:hAnsi="Baskerville Old Face" w:cs="Cambria"/>
          <w:sz w:val="24"/>
          <w:szCs w:val="24"/>
          <w:lang w:val="en-ID"/>
        </w:rPr>
        <w:t>Model Summary Results</w:t>
      </w:r>
    </w:p>
    <w:tbl>
      <w:tblPr>
        <w:tblW w:w="5000" w:type="pct"/>
        <w:jc w:val="center"/>
        <w:tblCellMar>
          <w:left w:w="0" w:type="dxa"/>
          <w:right w:w="0" w:type="dxa"/>
        </w:tblCellMar>
        <w:tblLook w:val="04A0" w:firstRow="1" w:lastRow="0" w:firstColumn="1" w:lastColumn="0" w:noHBand="0" w:noVBand="1"/>
      </w:tblPr>
      <w:tblGrid>
        <w:gridCol w:w="1311"/>
        <w:gridCol w:w="1974"/>
        <w:gridCol w:w="1502"/>
        <w:gridCol w:w="2421"/>
        <w:gridCol w:w="2431"/>
      </w:tblGrid>
      <w:tr w:rsidR="00DC6E2B" w:rsidRPr="00D47213" w14:paraId="11E4524A" w14:textId="77777777" w:rsidTr="005144C4">
        <w:trPr>
          <w:cantSplit/>
          <w:trHeight w:val="447"/>
          <w:jc w:val="center"/>
        </w:trPr>
        <w:tc>
          <w:tcPr>
            <w:tcW w:w="680" w:type="pct"/>
            <w:tcBorders>
              <w:top w:val="single" w:sz="4" w:space="0" w:color="auto"/>
              <w:bottom w:val="single" w:sz="4" w:space="0" w:color="auto"/>
            </w:tcBorders>
            <w:vAlign w:val="center"/>
            <w:hideMark/>
          </w:tcPr>
          <w:p w14:paraId="204A05A5"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1024" w:type="pct"/>
            <w:tcBorders>
              <w:top w:val="single" w:sz="4" w:space="0" w:color="auto"/>
              <w:bottom w:val="single" w:sz="4" w:space="0" w:color="auto"/>
            </w:tcBorders>
            <w:vAlign w:val="center"/>
            <w:hideMark/>
          </w:tcPr>
          <w:p w14:paraId="52C75605"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w:t>
            </w:r>
          </w:p>
        </w:tc>
        <w:tc>
          <w:tcPr>
            <w:tcW w:w="779" w:type="pct"/>
            <w:tcBorders>
              <w:top w:val="single" w:sz="4" w:space="0" w:color="auto"/>
              <w:bottom w:val="single" w:sz="4" w:space="0" w:color="auto"/>
            </w:tcBorders>
            <w:vAlign w:val="center"/>
            <w:hideMark/>
          </w:tcPr>
          <w:p w14:paraId="443BD7CE"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 Square</w:t>
            </w:r>
          </w:p>
        </w:tc>
        <w:tc>
          <w:tcPr>
            <w:tcW w:w="1256" w:type="pct"/>
            <w:tcBorders>
              <w:top w:val="single" w:sz="4" w:space="0" w:color="auto"/>
              <w:bottom w:val="single" w:sz="4" w:space="0" w:color="auto"/>
            </w:tcBorders>
            <w:vAlign w:val="center"/>
            <w:hideMark/>
          </w:tcPr>
          <w:p w14:paraId="46D2D972"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Adjusted R Square</w:t>
            </w:r>
          </w:p>
        </w:tc>
        <w:tc>
          <w:tcPr>
            <w:tcW w:w="1261" w:type="pct"/>
            <w:tcBorders>
              <w:top w:val="single" w:sz="4" w:space="0" w:color="auto"/>
              <w:bottom w:val="single" w:sz="4" w:space="0" w:color="auto"/>
            </w:tcBorders>
            <w:vAlign w:val="center"/>
            <w:hideMark/>
          </w:tcPr>
          <w:p w14:paraId="21ECBB90"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Error of the Estimate</w:t>
            </w:r>
          </w:p>
        </w:tc>
      </w:tr>
      <w:tr w:rsidR="00DC6E2B" w:rsidRPr="00D47213" w14:paraId="3951FAA9" w14:textId="77777777" w:rsidTr="005144C4">
        <w:trPr>
          <w:cantSplit/>
          <w:trHeight w:val="223"/>
          <w:jc w:val="center"/>
        </w:trPr>
        <w:tc>
          <w:tcPr>
            <w:tcW w:w="680" w:type="pct"/>
            <w:tcBorders>
              <w:top w:val="single" w:sz="4" w:space="0" w:color="auto"/>
              <w:bottom w:val="single" w:sz="4" w:space="0" w:color="auto"/>
            </w:tcBorders>
            <w:vAlign w:val="center"/>
            <w:hideMark/>
          </w:tcPr>
          <w:p w14:paraId="7F35A597"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1024" w:type="pct"/>
            <w:tcBorders>
              <w:top w:val="single" w:sz="4" w:space="0" w:color="auto"/>
              <w:bottom w:val="single" w:sz="4" w:space="0" w:color="auto"/>
            </w:tcBorders>
            <w:vAlign w:val="center"/>
            <w:hideMark/>
          </w:tcPr>
          <w:p w14:paraId="481E815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.388 </w:t>
            </w:r>
            <w:r w:rsidRPr="00D47213">
              <w:rPr>
                <w:rFonts w:ascii="Baskerville Old Face" w:eastAsia="Cambria" w:hAnsi="Baskerville Old Face" w:cs="Cambria"/>
                <w:sz w:val="24"/>
                <w:szCs w:val="24"/>
                <w:vertAlign w:val="superscript"/>
                <w:lang w:val="en-ID"/>
              </w:rPr>
              <w:t>a</w:t>
            </w:r>
          </w:p>
        </w:tc>
        <w:tc>
          <w:tcPr>
            <w:tcW w:w="779" w:type="pct"/>
            <w:tcBorders>
              <w:top w:val="single" w:sz="4" w:space="0" w:color="auto"/>
              <w:bottom w:val="single" w:sz="4" w:space="0" w:color="auto"/>
            </w:tcBorders>
            <w:vAlign w:val="center"/>
            <w:hideMark/>
          </w:tcPr>
          <w:p w14:paraId="555517F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.151</w:t>
            </w:r>
          </w:p>
        </w:tc>
        <w:tc>
          <w:tcPr>
            <w:tcW w:w="1256" w:type="pct"/>
            <w:tcBorders>
              <w:top w:val="single" w:sz="4" w:space="0" w:color="auto"/>
              <w:bottom w:val="single" w:sz="4" w:space="0" w:color="auto"/>
            </w:tcBorders>
            <w:vAlign w:val="center"/>
            <w:hideMark/>
          </w:tcPr>
          <w:p w14:paraId="3C85100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.142</w:t>
            </w:r>
          </w:p>
        </w:tc>
        <w:tc>
          <w:tcPr>
            <w:tcW w:w="1261" w:type="pct"/>
            <w:tcBorders>
              <w:top w:val="single" w:sz="4" w:space="0" w:color="auto"/>
              <w:bottom w:val="single" w:sz="4" w:space="0" w:color="auto"/>
            </w:tcBorders>
            <w:vAlign w:val="center"/>
            <w:hideMark/>
          </w:tcPr>
          <w:p w14:paraId="57C4F0AD"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5,569</w:t>
            </w:r>
          </w:p>
        </w:tc>
      </w:tr>
    </w:tbl>
    <w:p w14:paraId="41FEE7B2" w14:textId="77777777" w:rsidR="00DC6E2B" w:rsidRPr="00D47213" w:rsidRDefault="00DC6E2B" w:rsidP="00931879">
      <w:pPr>
        <w:jc w:val="both"/>
        <w:rPr>
          <w:rFonts w:ascii="Baskerville Old Face" w:eastAsia="Cambria" w:hAnsi="Baskerville Old Face" w:cs="Cambria"/>
          <w:i/>
          <w:iCs/>
          <w:sz w:val="24"/>
          <w:szCs w:val="24"/>
          <w:lang w:val="en-ID"/>
        </w:rPr>
      </w:pPr>
      <w:r w:rsidRPr="00D47213">
        <w:rPr>
          <w:rFonts w:ascii="Baskerville Old Face" w:eastAsia="Cambria" w:hAnsi="Baskerville Old Face" w:cs="Cambria"/>
          <w:i/>
          <w:iCs/>
          <w:sz w:val="24"/>
          <w:szCs w:val="24"/>
          <w:lang w:val="en-ID"/>
        </w:rPr>
        <w:t>( Source : Processed data using SPSS version 26, year 2026)</w:t>
      </w:r>
    </w:p>
    <w:p w14:paraId="32D2D951" w14:textId="77777777" w:rsidR="00931879" w:rsidRDefault="00931879" w:rsidP="00931879">
      <w:pPr>
        <w:ind w:firstLine="567"/>
        <w:jc w:val="both"/>
        <w:rPr>
          <w:rFonts w:ascii="Baskerville Old Face" w:eastAsia="Cambria" w:hAnsi="Baskerville Old Face" w:cs="Cambria"/>
          <w:sz w:val="24"/>
          <w:szCs w:val="24"/>
          <w:lang w:val="en-ID"/>
        </w:rPr>
      </w:pPr>
    </w:p>
    <w:p w14:paraId="1C7EDDAA" w14:textId="3B0E68AF" w:rsidR="00DC6E2B" w:rsidRDefault="00DC6E2B" w:rsidP="00931879">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The results of the summary model analysis show The R value is 0.388, which indicates existence connection positive with strength low until currently between quality means infrastructure and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 Square value of 0.151 indicates that quality means infrastructure capable explains 15.1% of the variation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while the remaining 84.9% explained by other variables outside the model. The Adjusted R Square value of 0.142 shows that after customized with amount samples and variables research</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ability of the model in explain quality learning still is at a relative level limited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Besides that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Std. Error of the Estimate value of 5.569 shows level deviation model predictions against mark current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regression model This Enough worthy used For explain influence quality means infrastructure to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even though Still there is Lots other contributing factors affect it</w:t>
      </w:r>
      <w:r w:rsidR="00D10F08">
        <w:rPr>
          <w:rFonts w:ascii="Baskerville Old Face" w:eastAsia="Cambria" w:hAnsi="Baskerville Old Face" w:cs="Cambria"/>
          <w:sz w:val="24"/>
          <w:szCs w:val="24"/>
          <w:lang w:val="en-ID"/>
        </w:rPr>
        <w:t>.</w:t>
      </w:r>
    </w:p>
    <w:p w14:paraId="4A0A8EA9" w14:textId="77777777" w:rsidR="00DC6E2B" w:rsidRPr="00931879" w:rsidRDefault="00DC6E2B" w:rsidP="00931879">
      <w:pPr>
        <w:numPr>
          <w:ilvl w:val="5"/>
          <w:numId w:val="14"/>
        </w:numPr>
        <w:ind w:left="406" w:hanging="425"/>
        <w:jc w:val="both"/>
        <w:rPr>
          <w:rFonts w:ascii="Baskerville Old Face" w:eastAsia="Cambria" w:hAnsi="Baskerville Old Face" w:cs="Cambria"/>
          <w:b/>
          <w:bCs/>
          <w:sz w:val="28"/>
          <w:szCs w:val="28"/>
          <w:lang w:val="en-ID"/>
        </w:rPr>
      </w:pPr>
      <w:r w:rsidRPr="00931879">
        <w:rPr>
          <w:rFonts w:ascii="Baskerville Old Face" w:eastAsia="Cambria" w:hAnsi="Baskerville Old Face" w:cs="Cambria"/>
          <w:b/>
          <w:bCs/>
          <w:sz w:val="28"/>
          <w:szCs w:val="28"/>
          <w:lang w:val="en-ID"/>
        </w:rPr>
        <w:t>Simultaneous Multiple Linear Regression Analysis (F-Test)</w:t>
      </w:r>
    </w:p>
    <w:p w14:paraId="3CA9AC62" w14:textId="77777777" w:rsidR="00931879" w:rsidRPr="00931879" w:rsidRDefault="00931879" w:rsidP="00C71FE3">
      <w:pPr>
        <w:jc w:val="center"/>
        <w:rPr>
          <w:rFonts w:ascii="Baskerville Old Face" w:eastAsia="Cambria" w:hAnsi="Baskerville Old Face" w:cs="Cambria"/>
          <w:sz w:val="12"/>
          <w:szCs w:val="12"/>
          <w:lang w:val="en-ID"/>
        </w:rPr>
      </w:pPr>
    </w:p>
    <w:p w14:paraId="037DC274" w14:textId="0C8A9CAF" w:rsidR="00DC6E2B" w:rsidRPr="00D47213" w:rsidRDefault="00DC6E2B" w:rsidP="00C71FE3">
      <w:pPr>
        <w:jc w:val="center"/>
        <w:rPr>
          <w:rFonts w:ascii="Baskerville Old Face" w:eastAsia="Cambria" w:hAnsi="Baskerville Old Face" w:cs="Cambria"/>
          <w:sz w:val="24"/>
          <w:szCs w:val="24"/>
          <w:lang w:val="en-ID"/>
        </w:rPr>
      </w:pPr>
      <w:r w:rsidRPr="005144C4">
        <w:rPr>
          <w:rFonts w:ascii="Baskerville Old Face" w:eastAsia="Cambria" w:hAnsi="Baskerville Old Face" w:cs="Cambria"/>
          <w:b/>
          <w:bCs/>
          <w:sz w:val="24"/>
          <w:szCs w:val="24"/>
          <w:lang w:val="en-ID"/>
        </w:rPr>
        <w:t xml:space="preserve">Table 13. </w:t>
      </w:r>
      <w:r w:rsidRPr="00D47213">
        <w:rPr>
          <w:rFonts w:ascii="Baskerville Old Face" w:eastAsia="Cambria" w:hAnsi="Baskerville Old Face" w:cs="Cambria"/>
          <w:sz w:val="24"/>
          <w:szCs w:val="24"/>
          <w:lang w:val="en-ID"/>
        </w:rPr>
        <w:t>Results of analysis (F-test) of the influence of ICT use and the quality of infrastructure on the quality of learning</w:t>
      </w:r>
    </w:p>
    <w:tbl>
      <w:tblPr>
        <w:tblW w:w="5000" w:type="pct"/>
        <w:jc w:val="center"/>
        <w:tblCellMar>
          <w:left w:w="0" w:type="dxa"/>
          <w:right w:w="0" w:type="dxa"/>
        </w:tblCellMar>
        <w:tblLook w:val="04A0" w:firstRow="1" w:lastRow="0" w:firstColumn="1" w:lastColumn="0" w:noHBand="0" w:noVBand="1"/>
      </w:tblPr>
      <w:tblGrid>
        <w:gridCol w:w="884"/>
        <w:gridCol w:w="1554"/>
        <w:gridCol w:w="1776"/>
        <w:gridCol w:w="1238"/>
        <w:gridCol w:w="1700"/>
        <w:gridCol w:w="1238"/>
        <w:gridCol w:w="1249"/>
      </w:tblGrid>
      <w:tr w:rsidR="00DC6E2B" w:rsidRPr="00931879" w14:paraId="619BA3A8" w14:textId="77777777" w:rsidTr="005144C4">
        <w:trPr>
          <w:cantSplit/>
          <w:trHeight w:val="695"/>
          <w:jc w:val="center"/>
        </w:trPr>
        <w:tc>
          <w:tcPr>
            <w:tcW w:w="1265" w:type="pct"/>
            <w:gridSpan w:val="2"/>
            <w:tcBorders>
              <w:top w:val="single" w:sz="4" w:space="0" w:color="auto"/>
              <w:bottom w:val="single" w:sz="4" w:space="0" w:color="auto"/>
            </w:tcBorders>
            <w:vAlign w:val="center"/>
            <w:hideMark/>
          </w:tcPr>
          <w:p w14:paraId="1AABA918"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Model</w:t>
            </w:r>
          </w:p>
        </w:tc>
        <w:tc>
          <w:tcPr>
            <w:tcW w:w="921" w:type="pct"/>
            <w:tcBorders>
              <w:top w:val="single" w:sz="4" w:space="0" w:color="auto"/>
              <w:bottom w:val="single" w:sz="4" w:space="0" w:color="auto"/>
            </w:tcBorders>
            <w:vAlign w:val="center"/>
            <w:hideMark/>
          </w:tcPr>
          <w:p w14:paraId="4682B8E9"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Sum of Squares</w:t>
            </w:r>
          </w:p>
        </w:tc>
        <w:tc>
          <w:tcPr>
            <w:tcW w:w="642" w:type="pct"/>
            <w:tcBorders>
              <w:top w:val="single" w:sz="4" w:space="0" w:color="auto"/>
              <w:bottom w:val="single" w:sz="4" w:space="0" w:color="auto"/>
            </w:tcBorders>
            <w:vAlign w:val="center"/>
            <w:hideMark/>
          </w:tcPr>
          <w:p w14:paraId="1FFCAF85"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Df</w:t>
            </w:r>
          </w:p>
        </w:tc>
        <w:tc>
          <w:tcPr>
            <w:tcW w:w="882" w:type="pct"/>
            <w:tcBorders>
              <w:top w:val="single" w:sz="4" w:space="0" w:color="auto"/>
              <w:bottom w:val="single" w:sz="4" w:space="0" w:color="auto"/>
            </w:tcBorders>
            <w:vAlign w:val="center"/>
            <w:hideMark/>
          </w:tcPr>
          <w:p w14:paraId="3BE631DF"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Mean Square</w:t>
            </w:r>
          </w:p>
        </w:tc>
        <w:tc>
          <w:tcPr>
            <w:tcW w:w="642" w:type="pct"/>
            <w:tcBorders>
              <w:top w:val="single" w:sz="4" w:space="0" w:color="auto"/>
              <w:bottom w:val="single" w:sz="4" w:space="0" w:color="auto"/>
            </w:tcBorders>
            <w:vAlign w:val="center"/>
            <w:hideMark/>
          </w:tcPr>
          <w:p w14:paraId="09140677"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F</w:t>
            </w:r>
          </w:p>
        </w:tc>
        <w:tc>
          <w:tcPr>
            <w:tcW w:w="648" w:type="pct"/>
            <w:tcBorders>
              <w:top w:val="single" w:sz="4" w:space="0" w:color="auto"/>
              <w:bottom w:val="single" w:sz="4" w:space="0" w:color="auto"/>
            </w:tcBorders>
            <w:vAlign w:val="center"/>
            <w:hideMark/>
          </w:tcPr>
          <w:p w14:paraId="6048BD86"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Sig.</w:t>
            </w:r>
          </w:p>
        </w:tc>
      </w:tr>
      <w:tr w:rsidR="00DC6E2B" w:rsidRPr="00931879" w14:paraId="33D8FB97" w14:textId="77777777" w:rsidTr="005144C4">
        <w:trPr>
          <w:cantSplit/>
          <w:trHeight w:val="347"/>
          <w:jc w:val="center"/>
        </w:trPr>
        <w:tc>
          <w:tcPr>
            <w:tcW w:w="459" w:type="pct"/>
            <w:vMerge w:val="restart"/>
            <w:tcBorders>
              <w:top w:val="single" w:sz="4" w:space="0" w:color="auto"/>
            </w:tcBorders>
            <w:vAlign w:val="center"/>
            <w:hideMark/>
          </w:tcPr>
          <w:p w14:paraId="2AE2460A"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1</w:t>
            </w:r>
          </w:p>
        </w:tc>
        <w:tc>
          <w:tcPr>
            <w:tcW w:w="806" w:type="pct"/>
            <w:tcBorders>
              <w:top w:val="single" w:sz="4" w:space="0" w:color="auto"/>
            </w:tcBorders>
            <w:vAlign w:val="center"/>
            <w:hideMark/>
          </w:tcPr>
          <w:p w14:paraId="45A5B796"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Regression</w:t>
            </w:r>
          </w:p>
        </w:tc>
        <w:tc>
          <w:tcPr>
            <w:tcW w:w="921" w:type="pct"/>
            <w:tcBorders>
              <w:top w:val="single" w:sz="4" w:space="0" w:color="auto"/>
            </w:tcBorders>
            <w:vAlign w:val="center"/>
            <w:hideMark/>
          </w:tcPr>
          <w:p w14:paraId="0180DA0D"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1528.243</w:t>
            </w:r>
          </w:p>
        </w:tc>
        <w:tc>
          <w:tcPr>
            <w:tcW w:w="642" w:type="pct"/>
            <w:tcBorders>
              <w:top w:val="single" w:sz="4" w:space="0" w:color="auto"/>
            </w:tcBorders>
            <w:vAlign w:val="center"/>
            <w:hideMark/>
          </w:tcPr>
          <w:p w14:paraId="4739CF0F"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2</w:t>
            </w:r>
          </w:p>
        </w:tc>
        <w:tc>
          <w:tcPr>
            <w:tcW w:w="882" w:type="pct"/>
            <w:tcBorders>
              <w:top w:val="single" w:sz="4" w:space="0" w:color="auto"/>
            </w:tcBorders>
            <w:vAlign w:val="center"/>
            <w:hideMark/>
          </w:tcPr>
          <w:p w14:paraId="0FC93DFB"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764,121</w:t>
            </w:r>
          </w:p>
        </w:tc>
        <w:tc>
          <w:tcPr>
            <w:tcW w:w="642" w:type="pct"/>
            <w:tcBorders>
              <w:top w:val="single" w:sz="4" w:space="0" w:color="auto"/>
            </w:tcBorders>
            <w:vAlign w:val="center"/>
            <w:hideMark/>
          </w:tcPr>
          <w:p w14:paraId="365B88B9"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35,629</w:t>
            </w:r>
          </w:p>
        </w:tc>
        <w:tc>
          <w:tcPr>
            <w:tcW w:w="648" w:type="pct"/>
            <w:tcBorders>
              <w:top w:val="single" w:sz="4" w:space="0" w:color="auto"/>
            </w:tcBorders>
            <w:vAlign w:val="center"/>
            <w:hideMark/>
          </w:tcPr>
          <w:p w14:paraId="7098E012"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 xml:space="preserve">.000 </w:t>
            </w:r>
            <w:r w:rsidRPr="00931879">
              <w:rPr>
                <w:rFonts w:ascii="Baskerville Old Face" w:eastAsia="Cambria" w:hAnsi="Baskerville Old Face" w:cs="Cambria"/>
                <w:sz w:val="24"/>
                <w:szCs w:val="24"/>
                <w:vertAlign w:val="superscript"/>
                <w:lang w:val="en-ID"/>
              </w:rPr>
              <w:t>b</w:t>
            </w:r>
          </w:p>
        </w:tc>
      </w:tr>
      <w:tr w:rsidR="00DC6E2B" w:rsidRPr="00931879" w14:paraId="657197F9" w14:textId="77777777" w:rsidTr="005144C4">
        <w:trPr>
          <w:cantSplit/>
          <w:trHeight w:val="159"/>
          <w:jc w:val="center"/>
        </w:trPr>
        <w:tc>
          <w:tcPr>
            <w:tcW w:w="459" w:type="pct"/>
            <w:vMerge/>
            <w:vAlign w:val="center"/>
            <w:hideMark/>
          </w:tcPr>
          <w:p w14:paraId="26389CCF" w14:textId="77777777" w:rsidR="00DC6E2B" w:rsidRPr="00931879" w:rsidRDefault="00DC6E2B" w:rsidP="00931879">
            <w:pPr>
              <w:jc w:val="center"/>
              <w:rPr>
                <w:rFonts w:ascii="Baskerville Old Face" w:eastAsia="Cambria" w:hAnsi="Baskerville Old Face" w:cs="Cambria"/>
                <w:sz w:val="24"/>
                <w:szCs w:val="24"/>
                <w:lang w:val="en-ID"/>
              </w:rPr>
            </w:pPr>
          </w:p>
        </w:tc>
        <w:tc>
          <w:tcPr>
            <w:tcW w:w="806" w:type="pct"/>
            <w:vAlign w:val="center"/>
            <w:hideMark/>
          </w:tcPr>
          <w:p w14:paraId="64E47994"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Residual</w:t>
            </w:r>
          </w:p>
        </w:tc>
        <w:tc>
          <w:tcPr>
            <w:tcW w:w="921" w:type="pct"/>
            <w:vAlign w:val="center"/>
            <w:hideMark/>
          </w:tcPr>
          <w:p w14:paraId="2C190E70"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2123.218</w:t>
            </w:r>
          </w:p>
        </w:tc>
        <w:tc>
          <w:tcPr>
            <w:tcW w:w="642" w:type="pct"/>
            <w:vAlign w:val="center"/>
            <w:hideMark/>
          </w:tcPr>
          <w:p w14:paraId="584BB933"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99</w:t>
            </w:r>
          </w:p>
        </w:tc>
        <w:tc>
          <w:tcPr>
            <w:tcW w:w="882" w:type="pct"/>
            <w:vAlign w:val="center"/>
            <w:hideMark/>
          </w:tcPr>
          <w:p w14:paraId="6C0CC38C"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21,447</w:t>
            </w:r>
          </w:p>
        </w:tc>
        <w:tc>
          <w:tcPr>
            <w:tcW w:w="642" w:type="pct"/>
            <w:vAlign w:val="center"/>
          </w:tcPr>
          <w:p w14:paraId="40B6D2E3" w14:textId="77777777" w:rsidR="00DC6E2B" w:rsidRPr="00931879" w:rsidRDefault="00DC6E2B" w:rsidP="00931879">
            <w:pPr>
              <w:jc w:val="center"/>
              <w:rPr>
                <w:rFonts w:ascii="Baskerville Old Face" w:eastAsia="Cambria" w:hAnsi="Baskerville Old Face" w:cs="Cambria"/>
                <w:sz w:val="24"/>
                <w:szCs w:val="24"/>
                <w:lang w:val="en-ID"/>
              </w:rPr>
            </w:pPr>
          </w:p>
        </w:tc>
        <w:tc>
          <w:tcPr>
            <w:tcW w:w="648" w:type="pct"/>
            <w:vAlign w:val="center"/>
          </w:tcPr>
          <w:p w14:paraId="40C52036" w14:textId="77777777" w:rsidR="00DC6E2B" w:rsidRPr="00931879" w:rsidRDefault="00DC6E2B" w:rsidP="00931879">
            <w:pPr>
              <w:jc w:val="center"/>
              <w:rPr>
                <w:rFonts w:ascii="Baskerville Old Face" w:eastAsia="Cambria" w:hAnsi="Baskerville Old Face" w:cs="Cambria"/>
                <w:sz w:val="24"/>
                <w:szCs w:val="24"/>
                <w:lang w:val="en-ID"/>
              </w:rPr>
            </w:pPr>
          </w:p>
        </w:tc>
      </w:tr>
      <w:tr w:rsidR="00DC6E2B" w:rsidRPr="00931879" w14:paraId="11710F7F" w14:textId="77777777" w:rsidTr="005144C4">
        <w:trPr>
          <w:cantSplit/>
          <w:trHeight w:val="159"/>
          <w:jc w:val="center"/>
        </w:trPr>
        <w:tc>
          <w:tcPr>
            <w:tcW w:w="459" w:type="pct"/>
            <w:vMerge/>
            <w:tcBorders>
              <w:bottom w:val="single" w:sz="4" w:space="0" w:color="auto"/>
            </w:tcBorders>
            <w:vAlign w:val="center"/>
            <w:hideMark/>
          </w:tcPr>
          <w:p w14:paraId="51E01BEC" w14:textId="77777777" w:rsidR="00DC6E2B" w:rsidRPr="00931879" w:rsidRDefault="00DC6E2B" w:rsidP="00931879">
            <w:pPr>
              <w:jc w:val="center"/>
              <w:rPr>
                <w:rFonts w:ascii="Baskerville Old Face" w:eastAsia="Cambria" w:hAnsi="Baskerville Old Face" w:cs="Cambria"/>
                <w:sz w:val="24"/>
                <w:szCs w:val="24"/>
                <w:lang w:val="en-ID"/>
              </w:rPr>
            </w:pPr>
          </w:p>
        </w:tc>
        <w:tc>
          <w:tcPr>
            <w:tcW w:w="806" w:type="pct"/>
            <w:tcBorders>
              <w:bottom w:val="single" w:sz="4" w:space="0" w:color="auto"/>
            </w:tcBorders>
            <w:vAlign w:val="center"/>
            <w:hideMark/>
          </w:tcPr>
          <w:p w14:paraId="1D9C1F3A"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Total</w:t>
            </w:r>
          </w:p>
        </w:tc>
        <w:tc>
          <w:tcPr>
            <w:tcW w:w="921" w:type="pct"/>
            <w:tcBorders>
              <w:bottom w:val="single" w:sz="4" w:space="0" w:color="auto"/>
            </w:tcBorders>
            <w:vAlign w:val="center"/>
            <w:hideMark/>
          </w:tcPr>
          <w:p w14:paraId="0966BC88"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3651.461</w:t>
            </w:r>
          </w:p>
        </w:tc>
        <w:tc>
          <w:tcPr>
            <w:tcW w:w="642" w:type="pct"/>
            <w:tcBorders>
              <w:bottom w:val="single" w:sz="4" w:space="0" w:color="auto"/>
            </w:tcBorders>
            <w:vAlign w:val="center"/>
            <w:hideMark/>
          </w:tcPr>
          <w:p w14:paraId="455B5352" w14:textId="77777777" w:rsidR="00DC6E2B" w:rsidRPr="00931879" w:rsidRDefault="00DC6E2B" w:rsidP="00931879">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sz w:val="24"/>
                <w:szCs w:val="24"/>
                <w:lang w:val="en-ID"/>
              </w:rPr>
              <w:t>101</w:t>
            </w:r>
          </w:p>
        </w:tc>
        <w:tc>
          <w:tcPr>
            <w:tcW w:w="882" w:type="pct"/>
            <w:tcBorders>
              <w:bottom w:val="single" w:sz="4" w:space="0" w:color="auto"/>
            </w:tcBorders>
            <w:vAlign w:val="center"/>
          </w:tcPr>
          <w:p w14:paraId="5B98472E" w14:textId="77777777" w:rsidR="00DC6E2B" w:rsidRPr="00931879" w:rsidRDefault="00DC6E2B" w:rsidP="00931879">
            <w:pPr>
              <w:jc w:val="center"/>
              <w:rPr>
                <w:rFonts w:ascii="Baskerville Old Face" w:eastAsia="Cambria" w:hAnsi="Baskerville Old Face" w:cs="Cambria"/>
                <w:sz w:val="24"/>
                <w:szCs w:val="24"/>
                <w:lang w:val="en-ID"/>
              </w:rPr>
            </w:pPr>
          </w:p>
        </w:tc>
        <w:tc>
          <w:tcPr>
            <w:tcW w:w="642" w:type="pct"/>
            <w:tcBorders>
              <w:bottom w:val="single" w:sz="4" w:space="0" w:color="auto"/>
            </w:tcBorders>
            <w:vAlign w:val="center"/>
          </w:tcPr>
          <w:p w14:paraId="7BEF9A1B" w14:textId="77777777" w:rsidR="00DC6E2B" w:rsidRPr="00931879" w:rsidRDefault="00DC6E2B" w:rsidP="00931879">
            <w:pPr>
              <w:jc w:val="center"/>
              <w:rPr>
                <w:rFonts w:ascii="Baskerville Old Face" w:eastAsia="Cambria" w:hAnsi="Baskerville Old Face" w:cs="Cambria"/>
                <w:sz w:val="24"/>
                <w:szCs w:val="24"/>
                <w:lang w:val="en-ID"/>
              </w:rPr>
            </w:pPr>
          </w:p>
        </w:tc>
        <w:tc>
          <w:tcPr>
            <w:tcW w:w="648" w:type="pct"/>
            <w:tcBorders>
              <w:bottom w:val="single" w:sz="4" w:space="0" w:color="auto"/>
            </w:tcBorders>
            <w:vAlign w:val="center"/>
          </w:tcPr>
          <w:p w14:paraId="31F7FB51" w14:textId="77777777" w:rsidR="00DC6E2B" w:rsidRPr="00931879" w:rsidRDefault="00DC6E2B" w:rsidP="00931879">
            <w:pPr>
              <w:jc w:val="center"/>
              <w:rPr>
                <w:rFonts w:ascii="Baskerville Old Face" w:eastAsia="Cambria" w:hAnsi="Baskerville Old Face" w:cs="Cambria"/>
                <w:sz w:val="24"/>
                <w:szCs w:val="24"/>
                <w:lang w:val="en-ID"/>
              </w:rPr>
            </w:pPr>
          </w:p>
        </w:tc>
      </w:tr>
    </w:tbl>
    <w:p w14:paraId="640B5FB9" w14:textId="77777777" w:rsidR="00DC6E2B" w:rsidRPr="00D47213" w:rsidRDefault="00DC6E2B" w:rsidP="00931879">
      <w:pPr>
        <w:rPr>
          <w:rFonts w:ascii="Baskerville Old Face" w:eastAsia="Cambria" w:hAnsi="Baskerville Old Face" w:cs="Cambria"/>
          <w:i/>
          <w:iCs/>
          <w:sz w:val="24"/>
          <w:szCs w:val="24"/>
          <w:lang w:val="en-ID"/>
        </w:rPr>
      </w:pPr>
      <w:r w:rsidRPr="00D47213">
        <w:rPr>
          <w:rFonts w:ascii="Baskerville Old Face" w:eastAsia="Cambria" w:hAnsi="Baskerville Old Face" w:cs="Cambria"/>
          <w:i/>
          <w:iCs/>
          <w:sz w:val="24"/>
          <w:szCs w:val="24"/>
          <w:lang w:val="en-ID"/>
        </w:rPr>
        <w:t>( Source : Processed data using SPSS version 26, year 2026)</w:t>
      </w:r>
    </w:p>
    <w:p w14:paraId="487B695C" w14:textId="77777777" w:rsidR="00931879" w:rsidRDefault="00931879" w:rsidP="00931879">
      <w:pPr>
        <w:ind w:firstLine="567"/>
        <w:jc w:val="both"/>
        <w:rPr>
          <w:rFonts w:ascii="Baskerville Old Face" w:eastAsia="Cambria" w:hAnsi="Baskerville Old Face" w:cs="Cambria"/>
          <w:sz w:val="24"/>
          <w:szCs w:val="24"/>
          <w:lang w:val="en-ID"/>
        </w:rPr>
      </w:pPr>
    </w:p>
    <w:p w14:paraId="54691C9B" w14:textId="744CFC63" w:rsidR="00DC6E2B" w:rsidRDefault="00DC6E2B" w:rsidP="00931879">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Significance test simultaneous through analysis variance (ANOVA) shows that the multiple linear regression model in a way overall significant (F = 35.629, df = 2/99, p &lt;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001). Sum of squares regression of 1528,243 ( out of a total of 3651,461) indicates that combination The quality of infrastructure and use of ICT is capable explain part big Variability of Learning Quality</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Mean Square regression value (764.121) is far more big than residual </w:t>
      </w:r>
      <w:r w:rsidRPr="00D47213">
        <w:rPr>
          <w:rFonts w:ascii="Baskerville Old Face" w:eastAsia="Cambria" w:hAnsi="Baskerville Old Face"/>
          <w:sz w:val="24"/>
          <w:szCs w:val="24"/>
          <w:lang w:val="en-ID"/>
        </w:rPr>
        <w:t xml:space="preserve">( </w:t>
      </w:r>
      <w:r w:rsidRPr="00D47213">
        <w:rPr>
          <w:rFonts w:ascii="Baskerville Old Face" w:eastAsia="Cambria" w:hAnsi="Baskerville Old Face" w:cs="Cambria"/>
          <w:sz w:val="24"/>
          <w:szCs w:val="24"/>
          <w:lang w:val="en-ID"/>
        </w:rPr>
        <w:t>21.447) produces extreme F-ratio</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rejects H</w:t>
      </w:r>
      <w:r w:rsidRPr="00D47213">
        <w:rPr>
          <w:rFonts w:ascii="Cambria Math" w:eastAsia="Cambria" w:hAnsi="Cambria Math" w:cs="Cambria Math"/>
          <w:sz w:val="24"/>
          <w:szCs w:val="24"/>
          <w:lang w:val="en-ID"/>
        </w:rPr>
        <w:t>₀</w:t>
      </w:r>
      <w:r w:rsidRPr="00D47213">
        <w:rPr>
          <w:rFonts w:ascii="Baskerville Old Face" w:eastAsia="Cambria" w:hAnsi="Baskerville Old Face" w:cs="Cambria"/>
          <w:sz w:val="24"/>
          <w:szCs w:val="24"/>
          <w:lang w:val="en-ID"/>
        </w:rPr>
        <w:t xml:space="preserve"> and proves influence simultaneous significant second predictor to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Then hypothesis in research This can accepted</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which shows that in a way simultaneity There is significant influence</w:t>
      </w:r>
      <w:r w:rsidRPr="00D47213">
        <w:rPr>
          <w:rFonts w:eastAsia="Cambria"/>
          <w:sz w:val="24"/>
          <w:szCs w:val="24"/>
          <w:lang w:val="en-ID"/>
        </w:rPr>
        <w:t>​</w:t>
      </w:r>
      <w:r w:rsidRPr="00D47213">
        <w:rPr>
          <w:rFonts w:ascii="Baskerville Old Face" w:eastAsia="Cambria" w:hAnsi="Baskerville Old Face" w:cs="Cambria"/>
          <w:sz w:val="24"/>
          <w:szCs w:val="24"/>
          <w:lang w:val="en-ID"/>
        </w:rPr>
        <w:t xml:space="preserve"> between Use of ICT, Quality of Facilities and Infrastructure and Quality of Learning in Muara Telang District</w:t>
      </w:r>
      <w:r w:rsidR="00D10F08">
        <w:rPr>
          <w:rFonts w:ascii="Baskerville Old Face" w:eastAsia="Cambria" w:hAnsi="Baskerville Old Face" w:cs="Cambria"/>
          <w:sz w:val="24"/>
          <w:szCs w:val="24"/>
          <w:lang w:val="en-ID"/>
        </w:rPr>
        <w:t>.</w:t>
      </w:r>
    </w:p>
    <w:p w14:paraId="2ED55D1C" w14:textId="77777777" w:rsidR="00AE26C9" w:rsidRDefault="00AE26C9" w:rsidP="00931879">
      <w:pPr>
        <w:ind w:firstLine="567"/>
        <w:jc w:val="both"/>
        <w:rPr>
          <w:rFonts w:ascii="Baskerville Old Face" w:eastAsia="Cambria" w:hAnsi="Baskerville Old Face" w:cs="Cambria"/>
          <w:sz w:val="24"/>
          <w:szCs w:val="24"/>
          <w:lang w:val="en-ID"/>
        </w:rPr>
      </w:pPr>
    </w:p>
    <w:p w14:paraId="2646E4FD" w14:textId="77777777" w:rsidR="00AE26C9" w:rsidRDefault="00AE26C9" w:rsidP="00931879">
      <w:pPr>
        <w:ind w:firstLine="567"/>
        <w:jc w:val="both"/>
        <w:rPr>
          <w:rFonts w:ascii="Baskerville Old Face" w:eastAsia="Cambria" w:hAnsi="Baskerville Old Face" w:cs="Cambria"/>
          <w:sz w:val="24"/>
          <w:szCs w:val="24"/>
          <w:lang w:val="en-ID"/>
        </w:rPr>
      </w:pPr>
    </w:p>
    <w:p w14:paraId="01C39DE1" w14:textId="77777777" w:rsidR="00AE26C9" w:rsidRDefault="00AE26C9" w:rsidP="00931879">
      <w:pPr>
        <w:ind w:firstLine="567"/>
        <w:jc w:val="both"/>
        <w:rPr>
          <w:rFonts w:ascii="Baskerville Old Face" w:eastAsia="Cambria" w:hAnsi="Baskerville Old Face" w:cs="Cambria"/>
          <w:sz w:val="24"/>
          <w:szCs w:val="24"/>
          <w:lang w:val="en-ID"/>
        </w:rPr>
      </w:pPr>
    </w:p>
    <w:p w14:paraId="5F7B3BBA" w14:textId="77777777" w:rsidR="00DC6E2B" w:rsidRPr="00931879" w:rsidRDefault="00DC6E2B" w:rsidP="00931879">
      <w:pPr>
        <w:numPr>
          <w:ilvl w:val="5"/>
          <w:numId w:val="14"/>
        </w:numPr>
        <w:ind w:left="406" w:hanging="425"/>
        <w:jc w:val="both"/>
        <w:rPr>
          <w:rFonts w:ascii="Baskerville Old Face" w:eastAsia="Cambria" w:hAnsi="Baskerville Old Face" w:cs="Cambria"/>
          <w:b/>
          <w:bCs/>
          <w:sz w:val="28"/>
          <w:szCs w:val="28"/>
          <w:lang w:val="en-ID"/>
        </w:rPr>
      </w:pPr>
      <w:r w:rsidRPr="00931879">
        <w:rPr>
          <w:rFonts w:ascii="Baskerville Old Face" w:eastAsia="Cambria" w:hAnsi="Baskerville Old Face" w:cs="Cambria"/>
          <w:b/>
          <w:bCs/>
          <w:sz w:val="28"/>
          <w:szCs w:val="28"/>
          <w:lang w:val="en-ID"/>
        </w:rPr>
        <w:lastRenderedPageBreak/>
        <w:t>Analysis Coefficient Determination</w:t>
      </w:r>
    </w:p>
    <w:p w14:paraId="6E067F38" w14:textId="77777777" w:rsidR="00931879" w:rsidRPr="00931879" w:rsidRDefault="00931879" w:rsidP="00C71FE3">
      <w:pPr>
        <w:jc w:val="center"/>
        <w:rPr>
          <w:rFonts w:ascii="Baskerville Old Face" w:eastAsia="Cambria" w:hAnsi="Baskerville Old Face" w:cs="Cambria"/>
          <w:b/>
          <w:bCs/>
          <w:sz w:val="12"/>
          <w:szCs w:val="12"/>
          <w:lang w:val="en-ID"/>
        </w:rPr>
      </w:pPr>
    </w:p>
    <w:p w14:paraId="626EB061" w14:textId="7310FEA9" w:rsidR="00DC6E2B" w:rsidRPr="00D47213" w:rsidRDefault="00DC6E2B" w:rsidP="00C71FE3">
      <w:pPr>
        <w:jc w:val="center"/>
        <w:rPr>
          <w:rFonts w:ascii="Baskerville Old Face" w:eastAsia="Cambria" w:hAnsi="Baskerville Old Face" w:cs="Cambria"/>
          <w:sz w:val="24"/>
          <w:szCs w:val="24"/>
          <w:lang w:val="en-ID"/>
        </w:rPr>
      </w:pPr>
      <w:r w:rsidRPr="00931879">
        <w:rPr>
          <w:rFonts w:ascii="Baskerville Old Face" w:eastAsia="Cambria" w:hAnsi="Baskerville Old Face" w:cs="Cambria"/>
          <w:b/>
          <w:bCs/>
          <w:sz w:val="24"/>
          <w:szCs w:val="24"/>
          <w:lang w:val="en-ID"/>
        </w:rPr>
        <w:t>Table 14</w:t>
      </w:r>
      <w:r w:rsidR="00931879" w:rsidRPr="00931879">
        <w:rPr>
          <w:rFonts w:ascii="Baskerville Old Face" w:eastAsia="Cambria" w:hAnsi="Baskerville Old Face" w:cs="Cambria"/>
          <w:b/>
          <w:bCs/>
          <w:sz w:val="24"/>
          <w:szCs w:val="24"/>
          <w:lang w:val="en-ID"/>
        </w:rPr>
        <w:t>.</w:t>
      </w:r>
      <w:r w:rsidRPr="00D47213">
        <w:rPr>
          <w:rFonts w:ascii="Baskerville Old Face" w:eastAsia="Cambria" w:hAnsi="Baskerville Old Face" w:cs="Cambria"/>
          <w:sz w:val="24"/>
          <w:szCs w:val="24"/>
          <w:lang w:val="en-ID"/>
        </w:rPr>
        <w:t xml:space="preserve"> Analysis results coefficient determination influence Use of ICT</w:t>
      </w:r>
      <w:r w:rsidR="00931879">
        <w:rPr>
          <w:rFonts w:ascii="Baskerville Old Face" w:eastAsia="Cambria" w:hAnsi="Baskerville Old Face" w:cs="Cambria"/>
          <w:sz w:val="24"/>
          <w:szCs w:val="24"/>
          <w:lang w:val="en-ID"/>
        </w:rPr>
        <w:t xml:space="preserve"> </w:t>
      </w:r>
      <w:r w:rsidRPr="00D47213">
        <w:rPr>
          <w:rFonts w:ascii="Baskerville Old Face" w:eastAsia="Cambria" w:hAnsi="Baskerville Old Face" w:cs="Cambria"/>
          <w:sz w:val="24"/>
          <w:szCs w:val="24"/>
          <w:lang w:val="en-ID"/>
        </w:rPr>
        <w:t>and the Quality of Facilities and Infrastructure on the quality of learning</w:t>
      </w:r>
    </w:p>
    <w:tbl>
      <w:tblPr>
        <w:tblW w:w="5000" w:type="pct"/>
        <w:jc w:val="center"/>
        <w:tblCellMar>
          <w:left w:w="0" w:type="dxa"/>
          <w:right w:w="0" w:type="dxa"/>
        </w:tblCellMar>
        <w:tblLook w:val="04A0" w:firstRow="1" w:lastRow="0" w:firstColumn="1" w:lastColumn="0" w:noHBand="0" w:noVBand="1"/>
      </w:tblPr>
      <w:tblGrid>
        <w:gridCol w:w="1570"/>
        <w:gridCol w:w="1357"/>
        <w:gridCol w:w="1378"/>
        <w:gridCol w:w="2410"/>
        <w:gridCol w:w="2924"/>
      </w:tblGrid>
      <w:tr w:rsidR="00DC6E2B" w:rsidRPr="00D47213" w14:paraId="6076BA0C" w14:textId="77777777" w:rsidTr="00931879">
        <w:trPr>
          <w:cantSplit/>
          <w:trHeight w:val="670"/>
          <w:jc w:val="center"/>
        </w:trPr>
        <w:tc>
          <w:tcPr>
            <w:tcW w:w="814" w:type="pct"/>
            <w:tcBorders>
              <w:top w:val="single" w:sz="4" w:space="0" w:color="auto"/>
              <w:bottom w:val="single" w:sz="4" w:space="0" w:color="auto"/>
            </w:tcBorders>
            <w:vAlign w:val="center"/>
            <w:hideMark/>
          </w:tcPr>
          <w:p w14:paraId="4F374CBC"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Model</w:t>
            </w:r>
          </w:p>
        </w:tc>
        <w:tc>
          <w:tcPr>
            <w:tcW w:w="704" w:type="pct"/>
            <w:tcBorders>
              <w:top w:val="single" w:sz="4" w:space="0" w:color="auto"/>
              <w:bottom w:val="single" w:sz="4" w:space="0" w:color="auto"/>
            </w:tcBorders>
            <w:vAlign w:val="center"/>
            <w:hideMark/>
          </w:tcPr>
          <w:p w14:paraId="1787A044"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w:t>
            </w:r>
          </w:p>
        </w:tc>
        <w:tc>
          <w:tcPr>
            <w:tcW w:w="715" w:type="pct"/>
            <w:tcBorders>
              <w:top w:val="single" w:sz="4" w:space="0" w:color="auto"/>
              <w:bottom w:val="single" w:sz="4" w:space="0" w:color="auto"/>
            </w:tcBorders>
            <w:vAlign w:val="center"/>
            <w:hideMark/>
          </w:tcPr>
          <w:p w14:paraId="491C0D9F"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 Square</w:t>
            </w:r>
          </w:p>
        </w:tc>
        <w:tc>
          <w:tcPr>
            <w:tcW w:w="1250" w:type="pct"/>
            <w:tcBorders>
              <w:top w:val="single" w:sz="4" w:space="0" w:color="auto"/>
              <w:bottom w:val="single" w:sz="4" w:space="0" w:color="auto"/>
            </w:tcBorders>
            <w:vAlign w:val="center"/>
            <w:hideMark/>
          </w:tcPr>
          <w:p w14:paraId="54435A16"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Adjusted R Square</w:t>
            </w:r>
          </w:p>
        </w:tc>
        <w:tc>
          <w:tcPr>
            <w:tcW w:w="1517" w:type="pct"/>
            <w:tcBorders>
              <w:top w:val="single" w:sz="4" w:space="0" w:color="auto"/>
              <w:bottom w:val="single" w:sz="4" w:space="0" w:color="auto"/>
            </w:tcBorders>
            <w:vAlign w:val="center"/>
            <w:hideMark/>
          </w:tcPr>
          <w:p w14:paraId="36E3E937"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Standard Error of the Estimate</w:t>
            </w:r>
          </w:p>
        </w:tc>
      </w:tr>
      <w:tr w:rsidR="00DC6E2B" w:rsidRPr="00D47213" w14:paraId="37F612C8" w14:textId="77777777" w:rsidTr="00931879">
        <w:trPr>
          <w:cantSplit/>
          <w:trHeight w:val="283"/>
          <w:jc w:val="center"/>
        </w:trPr>
        <w:tc>
          <w:tcPr>
            <w:tcW w:w="814" w:type="pct"/>
            <w:tcBorders>
              <w:top w:val="single" w:sz="4" w:space="0" w:color="auto"/>
              <w:bottom w:val="single" w:sz="4" w:space="0" w:color="auto"/>
            </w:tcBorders>
            <w:vAlign w:val="center"/>
            <w:hideMark/>
          </w:tcPr>
          <w:p w14:paraId="45CC3ABF"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1</w:t>
            </w:r>
          </w:p>
        </w:tc>
        <w:tc>
          <w:tcPr>
            <w:tcW w:w="704" w:type="pct"/>
            <w:tcBorders>
              <w:top w:val="single" w:sz="4" w:space="0" w:color="auto"/>
              <w:bottom w:val="single" w:sz="4" w:space="0" w:color="auto"/>
            </w:tcBorders>
            <w:vAlign w:val="center"/>
            <w:hideMark/>
          </w:tcPr>
          <w:p w14:paraId="46F689CD"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.647 </w:t>
            </w:r>
            <w:r w:rsidRPr="00D47213">
              <w:rPr>
                <w:rFonts w:ascii="Baskerville Old Face" w:eastAsia="Cambria" w:hAnsi="Baskerville Old Face" w:cs="Cambria"/>
                <w:sz w:val="24"/>
                <w:szCs w:val="24"/>
                <w:vertAlign w:val="superscript"/>
                <w:lang w:val="en-ID"/>
              </w:rPr>
              <w:t>a</w:t>
            </w:r>
          </w:p>
        </w:tc>
        <w:tc>
          <w:tcPr>
            <w:tcW w:w="715" w:type="pct"/>
            <w:tcBorders>
              <w:top w:val="single" w:sz="4" w:space="0" w:color="auto"/>
              <w:bottom w:val="single" w:sz="4" w:space="0" w:color="auto"/>
            </w:tcBorders>
            <w:vAlign w:val="center"/>
            <w:hideMark/>
          </w:tcPr>
          <w:p w14:paraId="7B116432"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.419</w:t>
            </w:r>
          </w:p>
        </w:tc>
        <w:tc>
          <w:tcPr>
            <w:tcW w:w="1250" w:type="pct"/>
            <w:tcBorders>
              <w:top w:val="single" w:sz="4" w:space="0" w:color="auto"/>
              <w:bottom w:val="single" w:sz="4" w:space="0" w:color="auto"/>
            </w:tcBorders>
            <w:vAlign w:val="center"/>
            <w:hideMark/>
          </w:tcPr>
          <w:p w14:paraId="653DD37D"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.407</w:t>
            </w:r>
          </w:p>
        </w:tc>
        <w:tc>
          <w:tcPr>
            <w:tcW w:w="1517" w:type="pct"/>
            <w:tcBorders>
              <w:top w:val="single" w:sz="4" w:space="0" w:color="auto"/>
              <w:bottom w:val="single" w:sz="4" w:space="0" w:color="auto"/>
            </w:tcBorders>
            <w:vAlign w:val="center"/>
            <w:hideMark/>
          </w:tcPr>
          <w:p w14:paraId="0FE75009" w14:textId="77777777" w:rsidR="00DC6E2B" w:rsidRPr="00D47213" w:rsidRDefault="00DC6E2B" w:rsidP="00931879">
            <w:pPr>
              <w:jc w:val="cente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4,631</w:t>
            </w:r>
          </w:p>
        </w:tc>
      </w:tr>
      <w:tr w:rsidR="00DC6E2B" w:rsidRPr="00D47213" w14:paraId="5C361E61" w14:textId="77777777" w:rsidTr="00931879">
        <w:trPr>
          <w:cantSplit/>
          <w:trHeight w:val="259"/>
          <w:jc w:val="center"/>
        </w:trPr>
        <w:tc>
          <w:tcPr>
            <w:tcW w:w="5000" w:type="pct"/>
            <w:gridSpan w:val="5"/>
            <w:tcBorders>
              <w:top w:val="single" w:sz="4" w:space="0" w:color="auto"/>
            </w:tcBorders>
            <w:vAlign w:val="center"/>
            <w:hideMark/>
          </w:tcPr>
          <w:p w14:paraId="763B4E42" w14:textId="77777777" w:rsidR="00DC6E2B" w:rsidRPr="00D47213" w:rsidRDefault="00DC6E2B" w:rsidP="00931879">
            <w:pP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 Predictors: (Constant), Use of ICT, Quality infrastructure</w:t>
            </w:r>
          </w:p>
        </w:tc>
      </w:tr>
      <w:tr w:rsidR="00DC6E2B" w:rsidRPr="00D47213" w14:paraId="43A2BB8E" w14:textId="77777777" w:rsidTr="00931879">
        <w:trPr>
          <w:cantSplit/>
          <w:trHeight w:val="428"/>
          <w:jc w:val="center"/>
        </w:trPr>
        <w:tc>
          <w:tcPr>
            <w:tcW w:w="5000" w:type="pct"/>
            <w:gridSpan w:val="5"/>
            <w:vAlign w:val="center"/>
            <w:hideMark/>
          </w:tcPr>
          <w:p w14:paraId="2338585D" w14:textId="77777777" w:rsidR="00DC6E2B" w:rsidRPr="00D47213" w:rsidRDefault="00DC6E2B" w:rsidP="00931879">
            <w:pPr>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b. Dependent Variable: Learning Quality</w:t>
            </w:r>
          </w:p>
        </w:tc>
      </w:tr>
    </w:tbl>
    <w:p w14:paraId="3F379D6F" w14:textId="335DD9BA" w:rsidR="00DC6E2B" w:rsidRPr="00D47213" w:rsidRDefault="00DC6E2B" w:rsidP="00931879">
      <w:pPr>
        <w:rPr>
          <w:rFonts w:ascii="Baskerville Old Face" w:eastAsia="Cambria" w:hAnsi="Baskerville Old Face" w:cs="Cambria"/>
          <w:i/>
          <w:iCs/>
          <w:sz w:val="24"/>
          <w:szCs w:val="24"/>
          <w:lang w:val="en-ID"/>
        </w:rPr>
      </w:pPr>
      <w:r w:rsidRPr="00D47213">
        <w:rPr>
          <w:rFonts w:ascii="Baskerville Old Face" w:eastAsia="Cambria" w:hAnsi="Baskerville Old Face" w:cs="Cambria"/>
          <w:i/>
          <w:iCs/>
          <w:sz w:val="24"/>
          <w:szCs w:val="24"/>
          <w:lang w:val="en-ID"/>
        </w:rPr>
        <w:t>Source : Processed data using SPSS version 26, year 2026)</w:t>
      </w:r>
    </w:p>
    <w:p w14:paraId="6EE35C0E" w14:textId="77777777" w:rsidR="00931879" w:rsidRDefault="00931879" w:rsidP="00C71FE3">
      <w:pPr>
        <w:ind w:firstLine="720"/>
        <w:jc w:val="both"/>
        <w:rPr>
          <w:rFonts w:ascii="Baskerville Old Face" w:eastAsia="Cambria" w:hAnsi="Baskerville Old Face" w:cs="Cambria"/>
          <w:sz w:val="24"/>
          <w:szCs w:val="24"/>
          <w:lang w:val="en-ID"/>
        </w:rPr>
      </w:pPr>
    </w:p>
    <w:p w14:paraId="539F8AB5" w14:textId="1139BBB9" w:rsidR="00DC6E2B" w:rsidRPr="00D47213" w:rsidRDefault="00DC6E2B" w:rsidP="00931879">
      <w:pPr>
        <w:ind w:firstLine="567"/>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The results of the summary model analysis show The R value is 0.647, which indicates existence connection positive with strength currently until strong between use of ICT, quality means infrastructure and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 Square value of 0.419 indicates that ICT use and quality means infrastructure in a way simultaneous capable explains 41.9% of the variation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while the remaining 58.1% explained by other variables outside the model. The Adjusted R Square value of 0.407 shows that after customized with amount sample and quantity variables free</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ability of the model in explain quality learning still is at a relative level high</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Besides that</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Std. Error of the Estimate value of 4.631 shows level deviation model predictions against mark current quality learning</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With Thus</w:t>
      </w:r>
      <w:r w:rsidR="00D10F08">
        <w:rPr>
          <w:rFonts w:ascii="Baskerville Old Face" w:eastAsia="Cambria" w:hAnsi="Baskerville Old Face" w:cs="Cambria"/>
          <w:sz w:val="24"/>
          <w:szCs w:val="24"/>
          <w:lang w:val="en-ID"/>
        </w:rPr>
        <w:t>,</w:t>
      </w:r>
      <w:r w:rsidRPr="00D47213">
        <w:rPr>
          <w:rFonts w:ascii="Baskerville Old Face" w:eastAsia="Cambria" w:hAnsi="Baskerville Old Face" w:cs="Cambria"/>
          <w:sz w:val="24"/>
          <w:szCs w:val="24"/>
          <w:lang w:val="en-ID"/>
        </w:rPr>
        <w:t xml:space="preserve"> the regression model This can it is said Enough good and worthy used For explain influence ICT use and quality means infrastructure to quality learning</w:t>
      </w:r>
      <w:r w:rsidR="00D10F08">
        <w:rPr>
          <w:rFonts w:ascii="Baskerville Old Face" w:eastAsia="Cambria" w:hAnsi="Baskerville Old Face" w:cs="Cambria"/>
          <w:sz w:val="24"/>
          <w:szCs w:val="24"/>
          <w:lang w:val="en-ID"/>
        </w:rPr>
        <w:t>.</w:t>
      </w:r>
    </w:p>
    <w:p w14:paraId="289AACC8" w14:textId="77777777" w:rsidR="00C71FE3" w:rsidRPr="00D47213" w:rsidRDefault="00C71FE3" w:rsidP="00507B4E">
      <w:pPr>
        <w:ind w:firstLine="720"/>
        <w:jc w:val="both"/>
        <w:rPr>
          <w:rFonts w:ascii="Baskerville Old Face" w:eastAsia="Cambria" w:hAnsi="Baskerville Old Face" w:cs="Cambria"/>
          <w:sz w:val="24"/>
          <w:szCs w:val="24"/>
          <w:lang w:val="en-ID"/>
        </w:rPr>
      </w:pPr>
    </w:p>
    <w:p w14:paraId="2067FCC3" w14:textId="7BBCEAA0" w:rsidR="00C71FE3" w:rsidRPr="00507B4E" w:rsidRDefault="00C71FE3" w:rsidP="00507B4E">
      <w:pPr>
        <w:pStyle w:val="ListParagraph"/>
        <w:numPr>
          <w:ilvl w:val="0"/>
          <w:numId w:val="24"/>
        </w:numPr>
        <w:spacing w:after="0" w:line="240" w:lineRule="auto"/>
        <w:ind w:left="364"/>
        <w:contextualSpacing w:val="0"/>
        <w:jc w:val="both"/>
        <w:rPr>
          <w:rFonts w:ascii="Baskerville Old Face" w:eastAsia="Cambria" w:hAnsi="Baskerville Old Face" w:cs="Cambria"/>
          <w:b/>
          <w:bCs/>
          <w:sz w:val="28"/>
          <w:szCs w:val="28"/>
          <w:lang w:val="en-ID"/>
        </w:rPr>
      </w:pPr>
      <w:r w:rsidRPr="00507B4E">
        <w:rPr>
          <w:rFonts w:ascii="Baskerville Old Face" w:eastAsia="Cambria" w:hAnsi="Baskerville Old Face" w:cs="Cambria"/>
          <w:b/>
          <w:bCs/>
          <w:sz w:val="28"/>
          <w:szCs w:val="28"/>
          <w:lang w:val="en-ID"/>
        </w:rPr>
        <w:t>Discussion</w:t>
      </w:r>
    </w:p>
    <w:p w14:paraId="7D3834F5" w14:textId="0331B305" w:rsidR="00C71FE3" w:rsidRPr="00507B4E" w:rsidRDefault="00C71FE3" w:rsidP="00507B4E">
      <w:pPr>
        <w:pStyle w:val="ListParagraph"/>
        <w:numPr>
          <w:ilvl w:val="1"/>
          <w:numId w:val="12"/>
        </w:numPr>
        <w:spacing w:after="0" w:line="240" w:lineRule="auto"/>
        <w:ind w:left="378"/>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The Influence of ICT Use on Learning Quality</w:t>
      </w:r>
    </w:p>
    <w:p w14:paraId="7054A46B" w14:textId="5EDA8830" w:rsidR="00C71FE3" w:rsidRPr="00507B4E" w:rsidRDefault="00C71FE3" w:rsidP="00507B4E">
      <w:pPr>
        <w:pStyle w:val="ListParagraph"/>
        <w:numPr>
          <w:ilvl w:val="0"/>
          <w:numId w:val="19"/>
        </w:numPr>
        <w:spacing w:after="0" w:line="240" w:lineRule="auto"/>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Interpretation of statistical results</w:t>
      </w:r>
    </w:p>
    <w:p w14:paraId="503E2ADB" w14:textId="3EA8D9A7" w:rsidR="00C71FE3" w:rsidRPr="00D47213" w:rsidRDefault="00C71FE3" w:rsidP="00507B4E">
      <w:pPr>
        <w:ind w:firstLine="567"/>
        <w:jc w:val="both"/>
        <w:rPr>
          <w:rFonts w:ascii="Baskerville Old Face" w:eastAsia="Cambria" w:hAnsi="Baskerville Old Face" w:cs="Cambria"/>
          <w:b/>
          <w:bCs/>
          <w:sz w:val="24"/>
          <w:szCs w:val="24"/>
          <w:lang w:val="id-ID"/>
        </w:rPr>
      </w:pPr>
      <w:r w:rsidRPr="00D47213">
        <w:rPr>
          <w:rFonts w:ascii="Baskerville Old Face" w:eastAsia="Cambria" w:hAnsi="Baskerville Old Face" w:cs="Cambria"/>
          <w:sz w:val="24"/>
          <w:szCs w:val="24"/>
          <w:lang w:val="id-ID"/>
        </w:rPr>
        <w:t>The results of simple linear regression analysis indicate that the use of ICT has a positive and significant effect on the quality of learning in Public Elementary Schools in Muara Telang District. This finding is seen from the regression coefficient value of 0.367, the calculated t value of 6.042, and the significance value of 0.000 which is smaller than 0.05, so the hypothesis stating that there is an effect of ICT use on the quality of learning can be accepted. In addition, the R value of 0.517 indicates a positive relationship with moderate strength, while the R Square value of 0.267 indicates that the use of ICT is able to explain 26.7% of the variation in the quality of learning.</w:t>
      </w:r>
      <w:r w:rsidR="00507B4E">
        <w:rPr>
          <w:rFonts w:ascii="Baskerville Old Face" w:eastAsia="Cambria" w:hAnsi="Baskerville Old Face" w:cs="Cambria"/>
          <w:sz w:val="24"/>
          <w:szCs w:val="24"/>
          <w:lang w:val="id-ID"/>
        </w:rPr>
        <w:t xml:space="preserve"> </w:t>
      </w:r>
      <w:r w:rsidRPr="00D47213">
        <w:rPr>
          <w:rFonts w:ascii="Baskerville Old Face" w:eastAsia="Cambria" w:hAnsi="Baskerville Old Face" w:cs="Cambria"/>
          <w:sz w:val="24"/>
          <w:szCs w:val="24"/>
          <w:lang w:val="id-ID"/>
        </w:rPr>
        <w:t>Substantively, these results indicate that increased use of ICT in learning tends to be followed by improved learning quality. In the context of elementary schools, ICT use is not limited to device availability but encompasses intensity of use, digital media utilization, internet access, teacher technical competence, and ICT integration in learning evaluation. Therefore, the better teachers utilize ICT pedagogically, the greater the opportunity for effective, interactive, and relevant learning to meet students' needs.</w:t>
      </w:r>
    </w:p>
    <w:p w14:paraId="7BFEE84D" w14:textId="77777777" w:rsidR="00C71FE3" w:rsidRPr="00507B4E" w:rsidRDefault="00C71FE3" w:rsidP="00507B4E">
      <w:pPr>
        <w:pStyle w:val="ListParagraph"/>
        <w:numPr>
          <w:ilvl w:val="0"/>
          <w:numId w:val="19"/>
        </w:numPr>
        <w:spacing w:after="0"/>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Relation to theory</w:t>
      </w:r>
    </w:p>
    <w:p w14:paraId="7D22BC84" w14:textId="77777777" w:rsidR="00C71FE3" w:rsidRPr="00507B4E"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The findings of this study align with the theoretical framework that positions the use of ICT as both an input and a process in educational management that contributes to improving the quality of learning. In theoretical studies, ICT use is understood as the degree of integration of devices, applications, and teachers' digital literacy in the planning, implementation, and evaluation stages of learning. Therefore, ICT is positioned not merely as a technical aid but as a strategic instrument in </w:t>
      </w:r>
      <w:r w:rsidRPr="00D47213">
        <w:rPr>
          <w:rFonts w:ascii="Baskerville Old Face" w:eastAsia="Cambria" w:hAnsi="Baskerville Old Face" w:cs="Cambria"/>
          <w:sz w:val="24"/>
          <w:szCs w:val="24"/>
          <w:lang w:val="id-ID"/>
        </w:rPr>
        <w:lastRenderedPageBreak/>
        <w:t>improving the quality of learning services. This view aligns with Riyuzen (2018), Mustari (2022), and Sihombing (2025), who emphasize that the use of technology in education will be meaningful if it is integrated into pedagogical practices and managed systematically.</w:t>
      </w:r>
    </w:p>
    <w:p w14:paraId="38A71F8C" w14:textId="77777777" w:rsidR="00C71FE3" w:rsidRPr="00D47213"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Theoretically, learning quality is formed through the interaction of educational input, process, and output. In the input dimension, ICT expands access to learning resources; in the process dimension, ICT strengthens learning interactions, varies teaching strategies, and streamlines material delivery; while in the output dimension, ICT can increase student engagement and support the achievement of learning outcomes. Therefore, the results of this study strengthen the argument that the effective use of ICT is a crucial factor in improving the quality of learning in elementary schools, particularly in the context of regions moving towards digital adaptation.</w:t>
      </w:r>
    </w:p>
    <w:p w14:paraId="7E72009E" w14:textId="77777777" w:rsidR="00C71FE3" w:rsidRPr="00507B4E" w:rsidRDefault="00C71FE3" w:rsidP="00507B4E">
      <w:pPr>
        <w:pStyle w:val="ListParagraph"/>
        <w:numPr>
          <w:ilvl w:val="0"/>
          <w:numId w:val="19"/>
        </w:numPr>
        <w:spacing w:after="0"/>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Consistency with previous research</w:t>
      </w:r>
    </w:p>
    <w:p w14:paraId="768EA787" w14:textId="77777777" w:rsidR="00C71FE3" w:rsidRPr="00507B4E"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 results of this study align with several previous studies presented in the previous discussion. Astuti, Haryati, and Wuryandini (2024) found that the use of digital technology positively impacts learning quality by supporting better learning, data management, and student engagement. Muhdar (2023) also demonstrated that ICT-based learning quality management has a significant impact on learning efficiency, material variety, and student enthusiasm for learning. Furthermore, Ibrahim, Aminah, and Munawar (2025) emphasized that ICT management that is planned, implemented, and evaluated continuously can improve the quality of learning at the elementary school level.</w:t>
      </w:r>
    </w:p>
    <w:p w14:paraId="59BDE93E" w14:textId="77777777" w:rsidR="00C71FE3" w:rsidRPr="00D47213"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 alignment of this study's findings with previous research indicates that the influence of ICT use on learning quality has a strong empirical basis. Although each study was conducted in a different school and regional context, a consistent pattern of findings emerged: effective ICT use correlates with improved learning quality. Therefore, the findings of the Muara Telang District study do not stand alone but rather reinforce the findings of previous studies in the context of Indonesian primary education.</w:t>
      </w:r>
    </w:p>
    <w:p w14:paraId="3DEF42D6" w14:textId="77777777" w:rsidR="00C71FE3" w:rsidRPr="00507B4E" w:rsidRDefault="00C71FE3" w:rsidP="00507B4E">
      <w:pPr>
        <w:pStyle w:val="ListParagraph"/>
        <w:numPr>
          <w:ilvl w:val="1"/>
          <w:numId w:val="12"/>
        </w:numPr>
        <w:spacing w:after="0" w:line="240" w:lineRule="auto"/>
        <w:ind w:left="378"/>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The Influence of the Quality of Facilities and Infrastructure on the Quality of Learning</w:t>
      </w:r>
    </w:p>
    <w:p w14:paraId="1EE3E4D6" w14:textId="77777777" w:rsidR="00C71FE3" w:rsidRPr="00507B4E" w:rsidRDefault="00C71FE3" w:rsidP="00507B4E">
      <w:pPr>
        <w:numPr>
          <w:ilvl w:val="0"/>
          <w:numId w:val="26"/>
        </w:numPr>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Interpretation of statistical results</w:t>
      </w:r>
    </w:p>
    <w:p w14:paraId="27CE9819" w14:textId="77777777" w:rsidR="00C71FE3" w:rsidRPr="00D47213"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 results of a simple linear regression analysis indicate that the quality of infrastructure has a positive and significant effect on the quality of learning. This is indicated by the regression coefficient value of 0.309, the calculated t value of 4.209, and a significance value of 0.000 which is smaller than 0.05, so the hypothesis stating that there is an influence of the quality of infrastructure on the quality of learning can be accepted. In addition, the R value of 0.388 indicates a positive relationship with low to moderate strength, while the R Square value of 0.151 indicates that the quality of infrastructure is able to explain 15.1% of the variation in the quality of learning.</w:t>
      </w:r>
    </w:p>
    <w:p w14:paraId="3BADACF5" w14:textId="77777777" w:rsidR="00C71FE3" w:rsidRPr="00D47213"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These findings indicate that the quality of infrastructure does contribute to the quality of learning, although the effect is not as strong as that of ICT use. This means that the better the condition of school facilities, including availability, physical feasibility, suitability, utilization, and maintenance, the better the learning environment. In the context of elementary schools, adequate infrastructure provides the physical foundation for orderly, comfortable, safe, and effective learning.</w:t>
      </w:r>
    </w:p>
    <w:p w14:paraId="10D0FD7C" w14:textId="77777777" w:rsidR="00C71FE3" w:rsidRPr="00507B4E" w:rsidRDefault="00C71FE3" w:rsidP="00507B4E">
      <w:pPr>
        <w:numPr>
          <w:ilvl w:val="0"/>
          <w:numId w:val="26"/>
        </w:numPr>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Relation to theory</w:t>
      </w:r>
    </w:p>
    <w:p w14:paraId="3C9946A7" w14:textId="77777777" w:rsidR="00C71FE3" w:rsidRPr="00D47213"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 xml:space="preserve">Theoretically, the quality of infrastructure is part of the educational input that functions to support the quality of the learning process. In the draft theory, infrastructure quality is understood as the level of adequacy, suitability, and maintenance of school physical facilities that directly and indirectly support curriculum implementation and teaching and learning activities. This view aligns with Purnamaningsih </w:t>
      </w:r>
      <w:r w:rsidRPr="00D47213">
        <w:rPr>
          <w:rFonts w:ascii="Baskerville Old Face" w:eastAsia="Cambria" w:hAnsi="Baskerville Old Face" w:cs="Cambria"/>
          <w:sz w:val="24"/>
          <w:szCs w:val="24"/>
          <w:lang w:val="id-ID"/>
        </w:rPr>
        <w:lastRenderedPageBreak/>
        <w:t>and Purbangkara (2022), Solikah (2015), and Mukri et al. (2024), who position educational facilities as a strategic element in creating a conducive and quality learning environment.</w:t>
      </w:r>
    </w:p>
    <w:p w14:paraId="5F384EE1" w14:textId="77777777" w:rsidR="00C71FE3" w:rsidRPr="00507B4E"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 relationship between infrastructure and learning quality can be explained through its fundamental function as a physical environment that enables optimal learning. Adequate classrooms, good lighting and ventilation, available learning aids, a functional library, and adequate sanitation facilities will enhance the comfort and effectiveness of the learning process. Therefore, the results of this study confirm that the quality of infrastructure is not merely an administrative complement, but rather an integral part of the learning quality support system in elementary schools.</w:t>
      </w:r>
    </w:p>
    <w:p w14:paraId="0E370241" w14:textId="77777777" w:rsidR="00C71FE3" w:rsidRPr="00507B4E" w:rsidRDefault="00C71FE3" w:rsidP="00507B4E">
      <w:pPr>
        <w:numPr>
          <w:ilvl w:val="0"/>
          <w:numId w:val="26"/>
        </w:numPr>
        <w:ind w:left="392"/>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Consistency with previous research</w:t>
      </w:r>
    </w:p>
    <w:p w14:paraId="6F5E3C65" w14:textId="77777777" w:rsidR="00C71FE3" w:rsidRPr="00507B4E"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The findings of this study are consistent with several previous studies discussed in the previous chapter. Febrian et al. (2025) concluded, through a systematic literature review, that infrastructure is a strategic component that plays a role in improving learning effectiveness and educational quality. Prihatini, Sari, Effendi, and Adhani (2022) also emphasized that adequate infrastructure is a critical priority because a lack of facilities will hinder the learning process and reduce the quality of learning in elementary schools. Furthermore, Saputra (2024) found that school infrastructure has a positive and significant impact on student achievement, which in turn reflects improved learning quality.</w:t>
      </w:r>
    </w:p>
    <w:p w14:paraId="0D3FE528" w14:textId="77777777" w:rsidR="00C71FE3" w:rsidRPr="00507B4E" w:rsidRDefault="00C71FE3" w:rsidP="00507B4E">
      <w:pPr>
        <w:ind w:firstLine="567"/>
        <w:jc w:val="both"/>
        <w:rPr>
          <w:rFonts w:ascii="Baskerville Old Face" w:eastAsia="Cambria" w:hAnsi="Baskerville Old Face" w:cs="Cambria"/>
          <w:sz w:val="24"/>
          <w:szCs w:val="24"/>
          <w:lang w:val="id-ID"/>
        </w:rPr>
      </w:pPr>
      <w:r w:rsidRPr="00D47213">
        <w:rPr>
          <w:rFonts w:ascii="Baskerville Old Face" w:eastAsia="Cambria" w:hAnsi="Baskerville Old Face" w:cs="Cambria"/>
          <w:sz w:val="24"/>
          <w:szCs w:val="24"/>
          <w:lang w:val="id-ID"/>
        </w:rPr>
        <w:t>This agreement demonstrates that the research findings in Muara Telang District have adequate empirical support. Although the effect of infrastructure quality in this study was smaller than the effect of ICT use, the effect remained positive and significant. This suggests that efforts to improve the quality of learning in elementary schools still require planned improvements to infrastructure, particularly in schools still facing limited basic facilities.</w:t>
      </w:r>
    </w:p>
    <w:p w14:paraId="268249C3" w14:textId="77777777" w:rsidR="00C71FE3" w:rsidRPr="00507B4E" w:rsidRDefault="00C71FE3" w:rsidP="00507B4E">
      <w:pPr>
        <w:pStyle w:val="ListParagraph"/>
        <w:numPr>
          <w:ilvl w:val="1"/>
          <w:numId w:val="12"/>
        </w:numPr>
        <w:spacing w:after="0"/>
        <w:ind w:left="378"/>
        <w:jc w:val="both"/>
        <w:rPr>
          <w:rFonts w:ascii="Baskerville Old Face" w:eastAsia="Cambria" w:hAnsi="Baskerville Old Face" w:cs="Cambria"/>
          <w:b/>
          <w:bCs/>
          <w:sz w:val="28"/>
          <w:szCs w:val="28"/>
          <w:lang w:val="id-ID"/>
        </w:rPr>
      </w:pPr>
      <w:r w:rsidRPr="00507B4E">
        <w:rPr>
          <w:rFonts w:ascii="Baskerville Old Face" w:eastAsia="Cambria" w:hAnsi="Baskerville Old Face" w:cs="Cambria"/>
          <w:b/>
          <w:bCs/>
          <w:sz w:val="28"/>
          <w:szCs w:val="28"/>
          <w:lang w:val="id-ID"/>
        </w:rPr>
        <w:t>The Influence of ICT Use and the Quality of Facilities and Infrastructure on the Quality of Learning</w:t>
      </w:r>
    </w:p>
    <w:p w14:paraId="6F547D9A" w14:textId="77777777" w:rsidR="00C71FE3" w:rsidRPr="00507B4E" w:rsidRDefault="00C71FE3" w:rsidP="00507B4E">
      <w:pPr>
        <w:numPr>
          <w:ilvl w:val="0"/>
          <w:numId w:val="18"/>
        </w:numPr>
        <w:ind w:left="364"/>
        <w:jc w:val="both"/>
        <w:rPr>
          <w:rFonts w:ascii="Baskerville Old Face" w:eastAsia="Cambria" w:hAnsi="Baskerville Old Face" w:cs="Cambria"/>
          <w:b/>
          <w:bCs/>
          <w:sz w:val="28"/>
          <w:szCs w:val="28"/>
          <w:lang w:val="en-ID"/>
        </w:rPr>
      </w:pPr>
      <w:r w:rsidRPr="00507B4E">
        <w:rPr>
          <w:rFonts w:ascii="Baskerville Old Face" w:eastAsia="Cambria" w:hAnsi="Baskerville Old Face" w:cs="Cambria"/>
          <w:b/>
          <w:bCs/>
          <w:sz w:val="28"/>
          <w:szCs w:val="28"/>
          <w:lang w:val="en-ID"/>
        </w:rPr>
        <w:t>Interpretation statistical results</w:t>
      </w:r>
    </w:p>
    <w:p w14:paraId="17636CE4" w14:textId="4EBC24FD"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Simultaneous test results show that ICT use and quality means infrastructure in a way together influential significant to quality learning at the State Elementary School in Muara Telang District</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This indicated by the calculated F value amounting to 35,629 with significance of 0.000, which means the regression model in a way overall worthy used For explain influence second variables free to variables bound</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Besides that</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 R value of 0.647 indicates connection positive with strength currently until strong</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whereas The R Square value of 0.419 indicates that second variables capable explains 41.9% of the variation quality learning</w:t>
      </w:r>
      <w:r w:rsidR="00D10F08" w:rsidRPr="00507B4E">
        <w:rPr>
          <w:rFonts w:ascii="Baskerville Old Face" w:eastAsia="Cambria" w:hAnsi="Baskerville Old Face" w:cs="Cambria"/>
          <w:sz w:val="24"/>
          <w:szCs w:val="24"/>
          <w:lang w:val="id-ID"/>
        </w:rPr>
        <w:t>.</w:t>
      </w:r>
    </w:p>
    <w:p w14:paraId="5C5528B0" w14:textId="4A3B6C70"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Findings This show that quality learning No determined by one factor single</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but by a combination ICT use and quality means infrastructure</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In general operational</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 use of ICT supports smooth learning process through utilization of digital media, access information</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and more interaction dynamic</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whereas quality means infrastructure provide environment proper</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safe and comfortable physical condition For activity study</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Second factor the each other complete in form a deeper learning process effective and quality</w:t>
      </w:r>
      <w:r w:rsidR="00D10F08" w:rsidRPr="00507B4E">
        <w:rPr>
          <w:rFonts w:ascii="Baskerville Old Face" w:eastAsia="Cambria" w:hAnsi="Baskerville Old Face" w:cs="Cambria"/>
          <w:sz w:val="24"/>
          <w:szCs w:val="24"/>
          <w:lang w:val="id-ID"/>
        </w:rPr>
        <w:t>.</w:t>
      </w:r>
    </w:p>
    <w:p w14:paraId="4A06DB2D" w14:textId="77777777" w:rsidR="00C71FE3" w:rsidRPr="00507B4E" w:rsidRDefault="00C71FE3" w:rsidP="00507B4E">
      <w:pPr>
        <w:numPr>
          <w:ilvl w:val="0"/>
          <w:numId w:val="18"/>
        </w:numPr>
        <w:ind w:left="364"/>
        <w:jc w:val="both"/>
        <w:rPr>
          <w:rFonts w:ascii="Baskerville Old Face" w:eastAsia="Cambria" w:hAnsi="Baskerville Old Face" w:cs="Cambria"/>
          <w:b/>
          <w:bCs/>
          <w:sz w:val="28"/>
          <w:szCs w:val="28"/>
          <w:lang w:val="en-ID"/>
        </w:rPr>
      </w:pPr>
      <w:r w:rsidRPr="00507B4E">
        <w:rPr>
          <w:rFonts w:ascii="Baskerville Old Face" w:eastAsia="Cambria" w:hAnsi="Baskerville Old Face" w:cs="Cambria"/>
          <w:b/>
          <w:bCs/>
          <w:sz w:val="28"/>
          <w:szCs w:val="28"/>
          <w:lang w:val="en-ID"/>
        </w:rPr>
        <w:t>Relatedness with theory</w:t>
      </w:r>
    </w:p>
    <w:p w14:paraId="04133521" w14:textId="2905F66F"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In a way theoretical</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results This strengthen view that quality learning is product from synergy between material input and managed pedagogical processes in a way systematic</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In framework management education</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ICT and facilities infrastructure No just factor supporters</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but rather part from source Power the main determining factor quality service education</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 use of ICT influences process dimensions through innovation learning</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efficiency delivery materials</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and improvements interactivity</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w:t>
      </w:r>
      <w:r w:rsidRPr="00507B4E">
        <w:rPr>
          <w:rFonts w:ascii="Baskerville Old Face" w:eastAsia="Cambria" w:hAnsi="Baskerville Old Face" w:cs="Cambria"/>
          <w:sz w:val="24"/>
          <w:szCs w:val="24"/>
          <w:lang w:val="id-ID"/>
        </w:rPr>
        <w:lastRenderedPageBreak/>
        <w:t>whereas means infrastructure influence quality environment learning</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security</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and comfort participant educate</w:t>
      </w:r>
      <w:r w:rsidR="00D10F08" w:rsidRPr="00507B4E">
        <w:rPr>
          <w:rFonts w:ascii="Baskerville Old Face" w:eastAsia="Cambria" w:hAnsi="Baskerville Old Face" w:cs="Cambria"/>
          <w:sz w:val="24"/>
          <w:szCs w:val="24"/>
          <w:lang w:val="id-ID"/>
        </w:rPr>
        <w:t>.</w:t>
      </w:r>
    </w:p>
    <w:p w14:paraId="6FE9D60D" w14:textId="3705A21C"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View This in line with explanation that quality learning created through integration between educational input, process, and output</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If ICT is available but infrastructure is inadequate, technology utilization will be suboptimal. Conversely, if infrastructure is good but ICT is not utilized, learning tends to be conventional and less responsive to the demands of modern developments. Therefore, the results of this study confirm that improving the quality of learning in elementary schools requires a comprehensive, not partial, approach. In relation to the theory presented in the previous discussion, this finding aligns with the views of Mustari (2023), Purnamaningsih and Purbangkara (2022), and Solikah (2015), who emphasized that learning quality depends on the integration of technological resources, physical facilities, and professional school management. All three demonstrate that schools capable of managing facilities, infrastructure, and technology in an integrated manner will more easily build active, conducive, and quality-oriented learning.</w:t>
      </w:r>
    </w:p>
    <w:p w14:paraId="78C5B139" w14:textId="77777777" w:rsidR="00C71FE3" w:rsidRPr="00507B4E" w:rsidRDefault="00C71FE3" w:rsidP="00507B4E">
      <w:pPr>
        <w:numPr>
          <w:ilvl w:val="0"/>
          <w:numId w:val="18"/>
        </w:numPr>
        <w:ind w:left="364"/>
        <w:jc w:val="both"/>
        <w:rPr>
          <w:rFonts w:ascii="Baskerville Old Face" w:eastAsia="Cambria" w:hAnsi="Baskerville Old Face" w:cs="Cambria"/>
          <w:b/>
          <w:bCs/>
          <w:sz w:val="28"/>
          <w:szCs w:val="28"/>
          <w:lang w:val="en-ID"/>
        </w:rPr>
      </w:pPr>
      <w:r w:rsidRPr="00507B4E">
        <w:rPr>
          <w:rFonts w:ascii="Baskerville Old Face" w:eastAsia="Cambria" w:hAnsi="Baskerville Old Face" w:cs="Cambria"/>
          <w:b/>
          <w:bCs/>
          <w:sz w:val="28"/>
          <w:szCs w:val="28"/>
          <w:lang w:val="en-ID"/>
        </w:rPr>
        <w:t>Compliance with study previously</w:t>
      </w:r>
    </w:p>
    <w:p w14:paraId="532CC554" w14:textId="427434AD"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Research result This own strong fit</w:t>
      </w:r>
      <w:r w:rsidRPr="00507B4E">
        <w:rPr>
          <w:rFonts w:eastAsia="Cambria"/>
          <w:sz w:val="24"/>
          <w:szCs w:val="24"/>
          <w:lang w:val="id-ID"/>
        </w:rPr>
        <w:t>​</w:t>
      </w:r>
      <w:r w:rsidRPr="00507B4E">
        <w:rPr>
          <w:rFonts w:ascii="Baskerville Old Face" w:eastAsia="Cambria" w:hAnsi="Baskerville Old Face" w:cs="Cambria"/>
          <w:sz w:val="24"/>
          <w:szCs w:val="24"/>
          <w:lang w:val="id-ID"/>
        </w:rPr>
        <w:t xml:space="preserve"> with study relevant previous studies</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Subadre</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Jufri</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and Karta (2023) found that means infrastructure and utilization technology information in learning influential positive and significant to quality learning</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even though both of them Work in a way independent</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Findings This show that influence combination of two variables the to quality learning of course empirical and can proven in a way statistics</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In addition In addition</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research by Salsabila and Setiawan (2020) also proves that that means infrastructure influential significant to results Study student school basic</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good in a way partial and simultaneous together variables other</w:t>
      </w:r>
      <w:r w:rsidR="00D10F08" w:rsidRPr="00507B4E">
        <w:rPr>
          <w:rFonts w:ascii="Baskerville Old Face" w:eastAsia="Cambria" w:hAnsi="Baskerville Old Face" w:cs="Cambria"/>
          <w:sz w:val="24"/>
          <w:szCs w:val="24"/>
          <w:lang w:val="id-ID"/>
        </w:rPr>
        <w:t>.</w:t>
      </w:r>
    </w:p>
    <w:p w14:paraId="779AF776" w14:textId="675AB208"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Conformity is also seen in the findings Prihatini</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Sari, Effendi, and Adhani (2022) who emphasized that means infrastructure is component strategic in development quality learning at school On the other hand</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research by Astuti, Haryati</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and Wuryandini (2024) and Ibrahim, Aminah, and Munawar (2025) strengthens that digital technology and ICT management have contribution positive to improvement quality learning</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With Thus</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 results study This No stand alone</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but rather strengthen pattern empirical that has been more formerly found by research previously</w:t>
      </w:r>
      <w:r w:rsidR="00D10F08" w:rsidRPr="00507B4E">
        <w:rPr>
          <w:rFonts w:ascii="Baskerville Old Face" w:eastAsia="Cambria" w:hAnsi="Baskerville Old Face" w:cs="Cambria"/>
          <w:sz w:val="24"/>
          <w:szCs w:val="24"/>
          <w:lang w:val="id-ID"/>
        </w:rPr>
        <w:t>.</w:t>
      </w:r>
    </w:p>
    <w:p w14:paraId="0F1462CE" w14:textId="39B21528" w:rsidR="00C71FE3" w:rsidRPr="00507B4E" w:rsidRDefault="00C71FE3" w:rsidP="00507B4E">
      <w:pPr>
        <w:ind w:firstLine="567"/>
        <w:jc w:val="both"/>
        <w:rPr>
          <w:rFonts w:ascii="Baskerville Old Face" w:eastAsia="Cambria" w:hAnsi="Baskerville Old Face" w:cs="Cambria"/>
          <w:sz w:val="24"/>
          <w:szCs w:val="24"/>
          <w:lang w:val="id-ID"/>
        </w:rPr>
      </w:pPr>
      <w:r w:rsidRPr="00507B4E">
        <w:rPr>
          <w:rFonts w:ascii="Baskerville Old Face" w:eastAsia="Cambria" w:hAnsi="Baskerville Old Face" w:cs="Cambria"/>
          <w:sz w:val="24"/>
          <w:szCs w:val="24"/>
          <w:lang w:val="id-ID"/>
        </w:rPr>
        <w:t>In a way conceptual</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results simultaneous This show that school the basis of what you want increase quality learning must building two dimensions in a way simultaneously</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namely dimensions technology and dimensions facility physical</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If one of the dimensions ignored</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then potential improvement quality will limited</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Therefore that</w:t>
      </w:r>
      <w:r w:rsidR="00D10F08" w:rsidRPr="00507B4E">
        <w:rPr>
          <w:rFonts w:ascii="Baskerville Old Face" w:eastAsia="Cambria" w:hAnsi="Baskerville Old Face" w:cs="Cambria"/>
          <w:sz w:val="24"/>
          <w:szCs w:val="24"/>
          <w:lang w:val="id-ID"/>
        </w:rPr>
        <w:t>,</w:t>
      </w:r>
      <w:r w:rsidRPr="00507B4E">
        <w:rPr>
          <w:rFonts w:ascii="Baskerville Old Face" w:eastAsia="Cambria" w:hAnsi="Baskerville Old Face" w:cs="Cambria"/>
          <w:sz w:val="24"/>
          <w:szCs w:val="24"/>
          <w:lang w:val="id-ID"/>
        </w:rPr>
        <w:t xml:space="preserve"> synergy between ICT use and quality means infrastructure become runway important in management strategy education at the State Elementary School of Muara Telang District</w:t>
      </w:r>
      <w:r w:rsidR="00D10F08" w:rsidRPr="00507B4E">
        <w:rPr>
          <w:rFonts w:ascii="Baskerville Old Face" w:eastAsia="Cambria" w:hAnsi="Baskerville Old Face" w:cs="Cambria"/>
          <w:sz w:val="24"/>
          <w:szCs w:val="24"/>
          <w:lang w:val="id-ID"/>
        </w:rPr>
        <w:t>.</w:t>
      </w:r>
    </w:p>
    <w:p w14:paraId="7F6EE597" w14:textId="77777777" w:rsidR="001545D9" w:rsidRPr="00D47213" w:rsidRDefault="001545D9" w:rsidP="00C71FE3">
      <w:pPr>
        <w:jc w:val="both"/>
        <w:rPr>
          <w:rFonts w:ascii="Baskerville Old Face" w:eastAsia="Cambria" w:hAnsi="Baskerville Old Face" w:cs="Cambria"/>
          <w:sz w:val="24"/>
          <w:szCs w:val="24"/>
        </w:rPr>
      </w:pPr>
    </w:p>
    <w:p w14:paraId="00544F4D" w14:textId="35B6DCDB" w:rsidR="001545D9" w:rsidRPr="00D47213" w:rsidRDefault="003C495F" w:rsidP="00815BD0">
      <w:pPr>
        <w:rPr>
          <w:rFonts w:ascii="Baskerville Old Face" w:eastAsia="Cambria" w:hAnsi="Baskerville Old Face" w:cs="Cambria"/>
          <w:b/>
          <w:sz w:val="28"/>
          <w:szCs w:val="28"/>
        </w:rPr>
      </w:pPr>
      <w:r w:rsidRPr="00D47213">
        <w:rPr>
          <w:rFonts w:ascii="Baskerville Old Face" w:eastAsia="Cambria" w:hAnsi="Baskerville Old Face" w:cs="Cambria"/>
          <w:b/>
          <w:sz w:val="28"/>
          <w:szCs w:val="28"/>
        </w:rPr>
        <w:t>Conclusion</w:t>
      </w:r>
    </w:p>
    <w:p w14:paraId="3324F6D2" w14:textId="77777777" w:rsidR="00507B4E" w:rsidRPr="00507B4E" w:rsidRDefault="00507B4E" w:rsidP="00507B4E">
      <w:pPr>
        <w:ind w:firstLine="567"/>
        <w:jc w:val="both"/>
        <w:rPr>
          <w:rFonts w:ascii="Baskerville Old Face" w:eastAsia="Cambria" w:hAnsi="Baskerville Old Face" w:cs="Cambria"/>
          <w:sz w:val="24"/>
          <w:szCs w:val="24"/>
          <w:lang w:val="en-ID"/>
        </w:rPr>
      </w:pPr>
      <w:r w:rsidRPr="00507B4E">
        <w:rPr>
          <w:rFonts w:ascii="Baskerville Old Face" w:eastAsia="Cambria" w:hAnsi="Baskerville Old Face" w:cs="Cambria"/>
          <w:sz w:val="24"/>
          <w:szCs w:val="24"/>
          <w:lang w:val="en-ID"/>
        </w:rPr>
        <w:t xml:space="preserve">Based on the results of data analysis and hypothesis testing, this study concludes that the use of Information and Communication Technology and the quality of facilities and infrastructure have a positive and significant effect on the quality of learning at State Primary Schools in Muara Telang District. The use of ICT improves learning quality through more effective planning, implementation, and evaluation of learning activities. The use of digital media, access to learning resources, variation in teaching methods, and greater pupil engagement also strengthen the teaching and learning process. In addition, adequate, appropriate, well-maintained, and optimally used facilities and infrastructure support the creation of effective, comfortable, and conducive learning conditions. Simultaneously, the use of ICT and the quality of facilities and infrastructure explain 41.9% of the variation in learning quality, while the remaining 58.1% is influenced by other factors outside the research model. These </w:t>
      </w:r>
      <w:r w:rsidRPr="00507B4E">
        <w:rPr>
          <w:rFonts w:ascii="Baskerville Old Face" w:eastAsia="Cambria" w:hAnsi="Baskerville Old Face" w:cs="Cambria"/>
          <w:sz w:val="24"/>
          <w:szCs w:val="24"/>
          <w:lang w:val="en-ID"/>
        </w:rPr>
        <w:lastRenderedPageBreak/>
        <w:t>findings indicate that improving learning quality should be carried out in an integrated manner through the strengthening of ICT use and the improvement of school facilities and infrastructure. The use of ICT is the most dominant variable, which shows that teachers’ ability to utilise learning technology is a strategic factor in improving the quality of primary education.</w:t>
      </w:r>
    </w:p>
    <w:p w14:paraId="2C1D96CE" w14:textId="77777777" w:rsidR="00507B4E" w:rsidRPr="00507B4E" w:rsidRDefault="00507B4E" w:rsidP="00507B4E">
      <w:pPr>
        <w:ind w:firstLine="567"/>
        <w:jc w:val="both"/>
        <w:rPr>
          <w:rFonts w:ascii="Baskerville Old Face" w:eastAsia="Cambria" w:hAnsi="Baskerville Old Face" w:cs="Cambria"/>
          <w:sz w:val="24"/>
          <w:szCs w:val="24"/>
          <w:lang w:val="en-ID"/>
        </w:rPr>
      </w:pPr>
      <w:r w:rsidRPr="00507B4E">
        <w:rPr>
          <w:rFonts w:ascii="Baskerville Old Face" w:eastAsia="Cambria" w:hAnsi="Baskerville Old Face" w:cs="Cambria"/>
          <w:sz w:val="24"/>
          <w:szCs w:val="24"/>
          <w:lang w:val="en-ID"/>
        </w:rPr>
        <w:t>Further research is recommended to include other variables that may influence learning quality, such as teachers’ pedagogical competence, head teachers’ leadership, school culture, pupils’ learning motivation, academic supervision, and parental support. Future studies may also cover a wider research area and use qualitative or mixed-method approaches to obtain deeper findings. For education practitioners, especially teachers and head teachers, this study recommends improving ICT skills in learning, developing simple digital learning media, and managing school facilities and infrastructure in a planned and sustainable manner. For local government and policy makers, the findings of this study can serve as a basis for strengthening programmes related to equal access to ICT facilities, school infrastructure improvement, technology-based teacher training, and the provision of maintenance budgets for school facilities and infrastructure. Such policies are important to ensure that State Primary Schools in Muara Telang District can improve learning quality consistently and in line with the demands of modern education.</w:t>
      </w:r>
    </w:p>
    <w:p w14:paraId="1200E6F3" w14:textId="77777777" w:rsidR="001545D9" w:rsidRDefault="001545D9">
      <w:pPr>
        <w:jc w:val="both"/>
        <w:rPr>
          <w:rFonts w:ascii="Baskerville Old Face" w:eastAsia="Cambria" w:hAnsi="Baskerville Old Face" w:cs="Cambria"/>
          <w:sz w:val="24"/>
          <w:szCs w:val="24"/>
        </w:rPr>
      </w:pPr>
    </w:p>
    <w:p w14:paraId="406A491D" w14:textId="77777777" w:rsidR="00507B4E" w:rsidRPr="00507B4E" w:rsidRDefault="00507B4E" w:rsidP="00507B4E">
      <w:pPr>
        <w:jc w:val="both"/>
        <w:rPr>
          <w:rFonts w:ascii="Baskerville Old Face" w:eastAsia="Cambria" w:hAnsi="Baskerville Old Face" w:cs="Cambria"/>
          <w:sz w:val="28"/>
          <w:szCs w:val="28"/>
          <w:lang w:val="en-ID"/>
        </w:rPr>
      </w:pPr>
      <w:r w:rsidRPr="00507B4E">
        <w:rPr>
          <w:rFonts w:ascii="Baskerville Old Face" w:eastAsia="Cambria" w:hAnsi="Baskerville Old Face" w:cs="Cambria"/>
          <w:b/>
          <w:bCs/>
          <w:sz w:val="28"/>
          <w:szCs w:val="28"/>
          <w:lang w:val="en-ID"/>
        </w:rPr>
        <w:t>Acknowledgements</w:t>
      </w:r>
    </w:p>
    <w:p w14:paraId="4883B520" w14:textId="77777777" w:rsidR="00507B4E" w:rsidRPr="00507B4E" w:rsidRDefault="00507B4E" w:rsidP="00507B4E">
      <w:pPr>
        <w:ind w:firstLine="567"/>
        <w:jc w:val="both"/>
        <w:rPr>
          <w:rFonts w:ascii="Baskerville Old Face" w:eastAsia="Cambria" w:hAnsi="Baskerville Old Face" w:cs="Cambria"/>
          <w:sz w:val="24"/>
          <w:szCs w:val="24"/>
          <w:lang w:val="en-ID"/>
        </w:rPr>
      </w:pPr>
      <w:r w:rsidRPr="00507B4E">
        <w:rPr>
          <w:rFonts w:ascii="Baskerville Old Face" w:eastAsia="Cambria" w:hAnsi="Baskerville Old Face" w:cs="Cambria"/>
          <w:sz w:val="24"/>
          <w:szCs w:val="24"/>
          <w:lang w:val="en-ID"/>
        </w:rPr>
        <w:t>The authors express their sincere gratitude to the head teachers, teachers, and pupils of State Primary Schools in Muara Telang District for their support and participation in this study. Appreciation is also extended to the local education authorities and all parties who contributed to the completion of this research, particularly in providing information related to ICT use, school facilities, infrastructure, and learning quality.</w:t>
      </w:r>
    </w:p>
    <w:p w14:paraId="27BA0441" w14:textId="77777777" w:rsidR="00507B4E" w:rsidRDefault="00507B4E">
      <w:pPr>
        <w:jc w:val="both"/>
        <w:rPr>
          <w:rFonts w:ascii="Baskerville Old Face" w:eastAsia="Cambria" w:hAnsi="Baskerville Old Face" w:cs="Cambria"/>
          <w:sz w:val="24"/>
          <w:szCs w:val="24"/>
        </w:rPr>
      </w:pPr>
    </w:p>
    <w:p w14:paraId="5A3171F0" w14:textId="75BFBCA9" w:rsidR="00B50B3E" w:rsidRPr="00D47213" w:rsidRDefault="003C495F" w:rsidP="00B50B3E">
      <w:pPr>
        <w:rPr>
          <w:rFonts w:ascii="Baskerville Old Face" w:eastAsia="Cambria" w:hAnsi="Baskerville Old Face" w:cs="Cambria"/>
          <w:sz w:val="28"/>
          <w:szCs w:val="28"/>
        </w:rPr>
      </w:pPr>
      <w:bookmarkStart w:id="2" w:name="bookmark=id.1fob9te" w:colFirst="0" w:colLast="0"/>
      <w:bookmarkEnd w:id="2"/>
      <w:r w:rsidRPr="00D47213">
        <w:rPr>
          <w:rFonts w:ascii="Baskerville Old Face" w:eastAsia="Cambria" w:hAnsi="Baskerville Old Face" w:cs="Cambria"/>
          <w:b/>
          <w:sz w:val="28"/>
          <w:szCs w:val="28"/>
        </w:rPr>
        <w:t>References</w:t>
      </w:r>
    </w:p>
    <w:p w14:paraId="02C1AE42"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Aderempas, T., Lukman, A., &amp; Emmi, K. H. (2025). </w:t>
      </w:r>
      <w:r w:rsidRPr="00D47213">
        <w:rPr>
          <w:rFonts w:ascii="Baskerville Old Face" w:eastAsia="Cambria" w:hAnsi="Baskerville Old Face" w:cs="Cambria"/>
          <w:i/>
          <w:iCs/>
          <w:sz w:val="24"/>
          <w:szCs w:val="24"/>
          <w:lang w:val="en-ID"/>
        </w:rPr>
        <w:t>Implementasi kebijakan pemerintah daerah bidang pendidikan dan implikasinya terhadap pemerataan infrastruktur pendidikan di Kabupaten Kepahiang</w:t>
      </w:r>
      <w:r w:rsidRPr="00D47213">
        <w:rPr>
          <w:rFonts w:ascii="Baskerville Old Face" w:eastAsia="Cambria" w:hAnsi="Baskerville Old Face" w:cs="Cambria"/>
          <w:sz w:val="24"/>
          <w:szCs w:val="24"/>
          <w:lang w:val="en-ID"/>
        </w:rPr>
        <w:t> [Tesis, Institut Agama Islam Negeri Curup].</w:t>
      </w:r>
    </w:p>
    <w:p w14:paraId="46222E5E" w14:textId="6078B375" w:rsidR="00C87EC4" w:rsidRPr="00D47213" w:rsidRDefault="00C87EC4" w:rsidP="00C87EC4">
      <w:pPr>
        <w:ind w:left="720" w:hanging="720"/>
        <w:jc w:val="both"/>
        <w:rPr>
          <w:rFonts w:ascii="Baskerville Old Face" w:eastAsia="Cambria" w:hAnsi="Baskerville Old Face" w:cs="Cambria"/>
          <w:sz w:val="24"/>
          <w:szCs w:val="24"/>
          <w:lang w:val="pt-BR"/>
        </w:rPr>
      </w:pPr>
      <w:r w:rsidRPr="00D47213">
        <w:rPr>
          <w:rFonts w:ascii="Baskerville Old Face" w:eastAsia="Cambria" w:hAnsi="Baskerville Old Face" w:cs="Cambria"/>
          <w:sz w:val="24"/>
          <w:szCs w:val="24"/>
          <w:lang w:val="pt-BR"/>
        </w:rPr>
        <w:t>Alfalah, M., Zakaria, M., Rofingah, S., Assahra, A., &amp; Al Mahdi, M. (2025). Ketersediaan sarana dan prasarana untuk menunjang kegiatan pendidikan sekolah dasar. </w:t>
      </w:r>
      <w:r w:rsidRPr="00D47213">
        <w:rPr>
          <w:rFonts w:ascii="Baskerville Old Face" w:eastAsia="Cambria" w:hAnsi="Baskerville Old Face" w:cs="Cambria"/>
          <w:i/>
          <w:iCs/>
          <w:sz w:val="24"/>
          <w:szCs w:val="24"/>
          <w:lang w:val="pt-BR"/>
        </w:rPr>
        <w:t>Jurnal Kepemimpinan dan Pengurusan Sekolah, 10</w:t>
      </w:r>
      <w:r w:rsidRPr="00D47213">
        <w:rPr>
          <w:rFonts w:ascii="Baskerville Old Face" w:eastAsia="Cambria" w:hAnsi="Baskerville Old Face" w:cs="Cambria"/>
          <w:sz w:val="24"/>
          <w:szCs w:val="24"/>
          <w:lang w:val="pt-BR"/>
        </w:rPr>
        <w:t>(4), 2899–2907.</w:t>
      </w:r>
    </w:p>
    <w:p w14:paraId="2859A145" w14:textId="77777777" w:rsidR="00C87EC4" w:rsidRPr="00D47213" w:rsidRDefault="00C87EC4" w:rsidP="00C87EC4">
      <w:pPr>
        <w:ind w:left="720" w:hanging="720"/>
        <w:jc w:val="both"/>
        <w:rPr>
          <w:rFonts w:ascii="Baskerville Old Face" w:eastAsia="Cambria" w:hAnsi="Baskerville Old Face" w:cs="Cambria"/>
          <w:sz w:val="24"/>
          <w:szCs w:val="24"/>
          <w:lang w:val="pt-BR"/>
        </w:rPr>
      </w:pPr>
      <w:r w:rsidRPr="00D47213">
        <w:rPr>
          <w:rFonts w:ascii="Baskerville Old Face" w:eastAsia="Cambria" w:hAnsi="Baskerville Old Face" w:cs="Cambria"/>
          <w:sz w:val="24"/>
          <w:szCs w:val="24"/>
          <w:lang w:val="pt-BR"/>
        </w:rPr>
        <w:t>Darathea, M. (2025). </w:t>
      </w:r>
      <w:r w:rsidRPr="00D47213">
        <w:rPr>
          <w:rFonts w:ascii="Baskerville Old Face" w:eastAsia="Cambria" w:hAnsi="Baskerville Old Face" w:cs="Cambria"/>
          <w:i/>
          <w:iCs/>
          <w:sz w:val="24"/>
          <w:szCs w:val="24"/>
          <w:lang w:val="pt-BR"/>
        </w:rPr>
        <w:t>Pengadaan sarana dan prasarana kelas dalam meningkatkan kualitas pembelajaran di Madrasah Tsanawiyah Swasta Kota Intan Rokan Hulu</w:t>
      </w:r>
      <w:r w:rsidRPr="00D47213">
        <w:rPr>
          <w:rFonts w:ascii="Baskerville Old Face" w:eastAsia="Cambria" w:hAnsi="Baskerville Old Face" w:cs="Cambria"/>
          <w:sz w:val="24"/>
          <w:szCs w:val="24"/>
          <w:lang w:val="pt-BR"/>
        </w:rPr>
        <w:t> [Tesis, Universitas Islam Negeri Sultan Syarif Kasim Riau].</w:t>
      </w:r>
    </w:p>
    <w:p w14:paraId="118C94BC" w14:textId="77777777" w:rsidR="00C87EC4" w:rsidRPr="00D47213" w:rsidRDefault="00C87EC4" w:rsidP="00C87EC4">
      <w:pPr>
        <w:ind w:left="720" w:hanging="720"/>
        <w:jc w:val="both"/>
        <w:rPr>
          <w:rFonts w:ascii="Baskerville Old Face" w:eastAsia="Cambria" w:hAnsi="Baskerville Old Face" w:cs="Cambria"/>
          <w:sz w:val="24"/>
          <w:szCs w:val="24"/>
          <w:lang w:val="pt-BR"/>
        </w:rPr>
      </w:pPr>
      <w:r w:rsidRPr="00D47213">
        <w:rPr>
          <w:rFonts w:ascii="Baskerville Old Face" w:eastAsia="Cambria" w:hAnsi="Baskerville Old Face" w:cs="Cambria"/>
          <w:sz w:val="24"/>
          <w:szCs w:val="24"/>
          <w:lang w:val="pt-BR"/>
        </w:rPr>
        <w:t>Fatukaloba, R. (2024). </w:t>
      </w:r>
      <w:r w:rsidRPr="00D47213">
        <w:rPr>
          <w:rFonts w:ascii="Baskerville Old Face" w:eastAsia="Cambria" w:hAnsi="Baskerville Old Face" w:cs="Cambria"/>
          <w:i/>
          <w:iCs/>
          <w:sz w:val="24"/>
          <w:szCs w:val="24"/>
          <w:lang w:val="pt-BR"/>
        </w:rPr>
        <w:t>Optimalisasi manajemen sarana prasarana pembelajaran untuk meningkatkan kualitas hasil belajar siswa di SMA IT Rahmaniyah Al-Islamy Cibinong, Bogor, Jawa Barat</w:t>
      </w:r>
      <w:r w:rsidRPr="00D47213">
        <w:rPr>
          <w:rFonts w:ascii="Baskerville Old Face" w:eastAsia="Cambria" w:hAnsi="Baskerville Old Face" w:cs="Cambria"/>
          <w:sz w:val="24"/>
          <w:szCs w:val="24"/>
          <w:lang w:val="pt-BR"/>
        </w:rPr>
        <w:t> [Tesis, Universitas PTIQ Jakarta].</w:t>
      </w:r>
    </w:p>
    <w:p w14:paraId="59329A68"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pt-BR"/>
        </w:rPr>
        <w:t>Kartika, I., &amp; Arifudin, O. (2022). Implementasi manajemen mutu pembelajaran sebagai upaya meningkatkan mutu pembelajaran di sekolah dasar. </w:t>
      </w:r>
      <w:r w:rsidRPr="00D47213">
        <w:rPr>
          <w:rFonts w:ascii="Baskerville Old Face" w:eastAsia="Cambria" w:hAnsi="Baskerville Old Face" w:cs="Cambria"/>
          <w:i/>
          <w:iCs/>
          <w:sz w:val="24"/>
          <w:szCs w:val="24"/>
          <w:lang w:val="en-ID"/>
        </w:rPr>
        <w:t>Jurnal Al-Amar: Ekonomi Syariah, Perbankan Syariah, Agama Islam, Manajemen dan Pendidikan, 3</w:t>
      </w:r>
      <w:r w:rsidRPr="00D47213">
        <w:rPr>
          <w:rFonts w:ascii="Baskerville Old Face" w:eastAsia="Cambria" w:hAnsi="Baskerville Old Face" w:cs="Cambria"/>
          <w:sz w:val="24"/>
          <w:szCs w:val="24"/>
          <w:lang w:val="en-ID"/>
        </w:rPr>
        <w:t>(2), 144–157.</w:t>
      </w:r>
    </w:p>
    <w:p w14:paraId="055A64C5"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 xml:space="preserve">Lestari, P. M., Lian, B., &amp; Mulyadi, M. (2025). </w:t>
      </w:r>
      <w:r w:rsidRPr="00D47213">
        <w:rPr>
          <w:rFonts w:ascii="Baskerville Old Face" w:eastAsia="Cambria" w:hAnsi="Baskerville Old Face" w:cs="Cambria"/>
          <w:sz w:val="24"/>
          <w:szCs w:val="24"/>
          <w:lang w:val="pt-BR"/>
        </w:rPr>
        <w:t>Peranan belajar mengajar berbasis teknologi informasi dalam meningkatkan mutu pembelajaran. </w:t>
      </w:r>
      <w:r w:rsidRPr="00D47213">
        <w:rPr>
          <w:rFonts w:ascii="Baskerville Old Face" w:eastAsia="Cambria" w:hAnsi="Baskerville Old Face" w:cs="Cambria"/>
          <w:i/>
          <w:iCs/>
          <w:sz w:val="24"/>
          <w:szCs w:val="24"/>
          <w:lang w:val="en-ID"/>
        </w:rPr>
        <w:t>Harmoni Pendidikan: Jurnal Ilmu Pendidikan, 2</w:t>
      </w:r>
      <w:r w:rsidRPr="00D47213">
        <w:rPr>
          <w:rFonts w:ascii="Baskerville Old Face" w:eastAsia="Cambria" w:hAnsi="Baskerville Old Face" w:cs="Cambria"/>
          <w:sz w:val="24"/>
          <w:szCs w:val="24"/>
          <w:lang w:val="en-ID"/>
        </w:rPr>
        <w:t>(4), 1–10.</w:t>
      </w:r>
    </w:p>
    <w:p w14:paraId="77D89D00" w14:textId="77777777" w:rsidR="00C87EC4" w:rsidRPr="00D47213" w:rsidRDefault="00C87EC4" w:rsidP="00C87EC4">
      <w:pPr>
        <w:ind w:left="720" w:hanging="720"/>
        <w:jc w:val="both"/>
        <w:rPr>
          <w:rFonts w:ascii="Baskerville Old Face" w:eastAsia="Cambria" w:hAnsi="Baskerville Old Face" w:cs="Cambria"/>
          <w:sz w:val="24"/>
          <w:szCs w:val="24"/>
          <w:lang w:val="pt-BR"/>
        </w:rPr>
      </w:pPr>
      <w:r w:rsidRPr="00D47213">
        <w:rPr>
          <w:rFonts w:ascii="Baskerville Old Face" w:eastAsia="Cambria" w:hAnsi="Baskerville Old Face" w:cs="Cambria"/>
          <w:sz w:val="24"/>
          <w:szCs w:val="24"/>
          <w:lang w:val="en-ID"/>
        </w:rPr>
        <w:lastRenderedPageBreak/>
        <w:t xml:space="preserve">Mahmudah, S., Halik, A., Sari, A. P., &amp; Ridwan, R. (2025). </w:t>
      </w:r>
      <w:r w:rsidRPr="00D47213">
        <w:rPr>
          <w:rFonts w:ascii="Baskerville Old Face" w:eastAsia="Cambria" w:hAnsi="Baskerville Old Face" w:cs="Cambria"/>
          <w:sz w:val="24"/>
          <w:szCs w:val="24"/>
          <w:lang w:val="pt-BR"/>
        </w:rPr>
        <w:t>Budaya mutu organisasi pada satuan pendidikan. </w:t>
      </w:r>
      <w:r w:rsidRPr="00D47213">
        <w:rPr>
          <w:rFonts w:ascii="Baskerville Old Face" w:eastAsia="Cambria" w:hAnsi="Baskerville Old Face" w:cs="Cambria"/>
          <w:i/>
          <w:iCs/>
          <w:sz w:val="24"/>
          <w:szCs w:val="24"/>
          <w:lang w:val="pt-BR"/>
        </w:rPr>
        <w:t>Sulawesi Tenggara Educational Journal, 5</w:t>
      </w:r>
      <w:r w:rsidRPr="00D47213">
        <w:rPr>
          <w:rFonts w:ascii="Baskerville Old Face" w:eastAsia="Cambria" w:hAnsi="Baskerville Old Face" w:cs="Cambria"/>
          <w:sz w:val="24"/>
          <w:szCs w:val="24"/>
          <w:lang w:val="pt-BR"/>
        </w:rPr>
        <w:t>(1), 417–424.</w:t>
      </w:r>
    </w:p>
    <w:p w14:paraId="4C0BF51F"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pt-BR"/>
        </w:rPr>
        <w:t>Mustari, M. (2022). </w:t>
      </w:r>
      <w:r w:rsidRPr="00D47213">
        <w:rPr>
          <w:rFonts w:ascii="Baskerville Old Face" w:eastAsia="Cambria" w:hAnsi="Baskerville Old Face" w:cs="Cambria"/>
          <w:i/>
          <w:iCs/>
          <w:sz w:val="24"/>
          <w:szCs w:val="24"/>
          <w:lang w:val="pt-BR"/>
        </w:rPr>
        <w:t>Manajemen pendidikan di era merdeka belajar</w:t>
      </w:r>
      <w:r w:rsidRPr="00D47213">
        <w:rPr>
          <w:rFonts w:ascii="Baskerville Old Face" w:eastAsia="Cambria" w:hAnsi="Baskerville Old Face" w:cs="Cambria"/>
          <w:sz w:val="24"/>
          <w:szCs w:val="24"/>
          <w:lang w:val="pt-BR"/>
        </w:rPr>
        <w:t xml:space="preserve">. </w:t>
      </w:r>
      <w:r w:rsidRPr="00D47213">
        <w:rPr>
          <w:rFonts w:ascii="Baskerville Old Face" w:eastAsia="Cambria" w:hAnsi="Baskerville Old Face" w:cs="Cambria"/>
          <w:sz w:val="24"/>
          <w:szCs w:val="24"/>
          <w:lang w:val="en-ID"/>
        </w:rPr>
        <w:t>Prodi S2 Studi Agama-Agama UIN Sunan Gunung Djati Bandung.</w:t>
      </w:r>
    </w:p>
    <w:p w14:paraId="01C7844D"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pt-BR"/>
        </w:rPr>
        <w:t>Mustari, M. (2023). </w:t>
      </w:r>
      <w:r w:rsidRPr="00D47213">
        <w:rPr>
          <w:rFonts w:ascii="Baskerville Old Face" w:eastAsia="Cambria" w:hAnsi="Baskerville Old Face" w:cs="Cambria"/>
          <w:i/>
          <w:iCs/>
          <w:sz w:val="24"/>
          <w:szCs w:val="24"/>
          <w:lang w:val="pt-BR"/>
        </w:rPr>
        <w:t>Teknologi informasi dan komunikasi dalam manajemen pendidikan</w:t>
      </w:r>
      <w:r w:rsidRPr="00D47213">
        <w:rPr>
          <w:rFonts w:ascii="Baskerville Old Face" w:eastAsia="Cambria" w:hAnsi="Baskerville Old Face" w:cs="Cambria"/>
          <w:sz w:val="24"/>
          <w:szCs w:val="24"/>
          <w:lang w:val="pt-BR"/>
        </w:rPr>
        <w:t xml:space="preserve">. </w:t>
      </w:r>
      <w:r w:rsidRPr="00D47213">
        <w:rPr>
          <w:rFonts w:ascii="Baskerville Old Face" w:eastAsia="Cambria" w:hAnsi="Baskerville Old Face" w:cs="Cambria"/>
          <w:sz w:val="24"/>
          <w:szCs w:val="24"/>
          <w:lang w:val="en-ID"/>
        </w:rPr>
        <w:t>Gunung Djati Publishing.</w:t>
      </w:r>
    </w:p>
    <w:p w14:paraId="5E2B2FE0"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Randan, F., Todingbua, M. A., &amp; Buku, A. (2025). Efektifitas pelayanan dan penyediaan sarana/prasarana dalam meningkatkan kualitas pembelajaran tingkat sekolah dasar dilingkup Dinas Pendidikan Kabupaten Nabire. </w:t>
      </w:r>
      <w:r w:rsidRPr="00D47213">
        <w:rPr>
          <w:rFonts w:ascii="Baskerville Old Face" w:eastAsia="Cambria" w:hAnsi="Baskerville Old Face" w:cs="Cambria"/>
          <w:i/>
          <w:iCs/>
          <w:sz w:val="24"/>
          <w:szCs w:val="24"/>
          <w:lang w:val="en-ID"/>
        </w:rPr>
        <w:t>Journal of Comprehensive Science, 4</w:t>
      </w:r>
      <w:r w:rsidRPr="00D47213">
        <w:rPr>
          <w:rFonts w:ascii="Baskerville Old Face" w:eastAsia="Cambria" w:hAnsi="Baskerville Old Face" w:cs="Cambria"/>
          <w:sz w:val="24"/>
          <w:szCs w:val="24"/>
          <w:lang w:val="en-ID"/>
        </w:rPr>
        <w:t>(2).</w:t>
      </w:r>
    </w:p>
    <w:p w14:paraId="39D87D2B"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Rivalina, R. (2014). Kompetensi teknologi informasi dan komunikasi guru dalam peningkatan kualitas pembelajaran. </w:t>
      </w:r>
      <w:r w:rsidRPr="00D47213">
        <w:rPr>
          <w:rFonts w:ascii="Baskerville Old Face" w:eastAsia="Cambria" w:hAnsi="Baskerville Old Face" w:cs="Cambria"/>
          <w:i/>
          <w:iCs/>
          <w:sz w:val="24"/>
          <w:szCs w:val="24"/>
          <w:lang w:val="en-ID"/>
        </w:rPr>
        <w:t>Jurnal Teknodik</w:t>
      </w:r>
      <w:r w:rsidRPr="00D47213">
        <w:rPr>
          <w:rFonts w:ascii="Baskerville Old Face" w:eastAsia="Cambria" w:hAnsi="Baskerville Old Face" w:cs="Cambria"/>
          <w:sz w:val="24"/>
          <w:szCs w:val="24"/>
          <w:lang w:val="en-ID"/>
        </w:rPr>
        <w:t>, 165–176.</w:t>
      </w:r>
    </w:p>
    <w:p w14:paraId="4146AE77"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Rosni, R. (2021). Kompetensi guru dalam meningkatkan mutu pembelajaran di sekolah dasar. </w:t>
      </w:r>
      <w:r w:rsidRPr="00D47213">
        <w:rPr>
          <w:rFonts w:ascii="Baskerville Old Face" w:eastAsia="Cambria" w:hAnsi="Baskerville Old Face" w:cs="Cambria"/>
          <w:i/>
          <w:iCs/>
          <w:sz w:val="24"/>
          <w:szCs w:val="24"/>
          <w:lang w:val="en-ID"/>
        </w:rPr>
        <w:t>Jurnal EDUCATIO: Jurnal Pendidikan Indonesia, 7</w:t>
      </w:r>
      <w:r w:rsidRPr="00D47213">
        <w:rPr>
          <w:rFonts w:ascii="Baskerville Old Face" w:eastAsia="Cambria" w:hAnsi="Baskerville Old Face" w:cs="Cambria"/>
          <w:sz w:val="24"/>
          <w:szCs w:val="24"/>
          <w:lang w:val="en-ID"/>
        </w:rPr>
        <w:t>(2), 113–124.</w:t>
      </w:r>
    </w:p>
    <w:p w14:paraId="4F9FEEE2"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Saifulloh, P. P. A. (2022). Rekonstruksi pengaturan hak dipilih pegawai negeri sipil dalam pemilihan umum legislatif menurut UUD 1945. </w:t>
      </w:r>
      <w:r w:rsidRPr="00D47213">
        <w:rPr>
          <w:rFonts w:ascii="Baskerville Old Face" w:eastAsia="Cambria" w:hAnsi="Baskerville Old Face" w:cs="Cambria"/>
          <w:i/>
          <w:iCs/>
          <w:sz w:val="24"/>
          <w:szCs w:val="24"/>
          <w:lang w:val="en-ID"/>
        </w:rPr>
        <w:t>Jurnal Rechts Vinding: Media Pembinaan Hukum Nasional, 11</w:t>
      </w:r>
      <w:r w:rsidRPr="00D47213">
        <w:rPr>
          <w:rFonts w:ascii="Baskerville Old Face" w:eastAsia="Cambria" w:hAnsi="Baskerville Old Face" w:cs="Cambria"/>
          <w:sz w:val="24"/>
          <w:szCs w:val="24"/>
          <w:lang w:val="en-ID"/>
        </w:rPr>
        <w:t>(2), 191–209.</w:t>
      </w:r>
    </w:p>
    <w:p w14:paraId="459C4445"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Siti, M. (2023). </w:t>
      </w:r>
      <w:r w:rsidRPr="00D47213">
        <w:rPr>
          <w:rFonts w:ascii="Baskerville Old Face" w:eastAsia="Cambria" w:hAnsi="Baskerville Old Face" w:cs="Cambria"/>
          <w:i/>
          <w:iCs/>
          <w:sz w:val="24"/>
          <w:szCs w:val="24"/>
          <w:lang w:val="en-ID"/>
        </w:rPr>
        <w:t>Buku strategi peningkatan kualitas pelayanan publik di era digitalisasi</w:t>
      </w:r>
      <w:r w:rsidRPr="00D47213">
        <w:rPr>
          <w:rFonts w:ascii="Baskerville Old Face" w:eastAsia="Cambria" w:hAnsi="Baskerville Old Face" w:cs="Cambria"/>
          <w:sz w:val="24"/>
          <w:szCs w:val="24"/>
          <w:lang w:val="en-ID"/>
        </w:rPr>
        <w:t>. CV Mitra Ilmu.</w:t>
      </w:r>
    </w:p>
    <w:p w14:paraId="16F3E1B0" w14:textId="77777777" w:rsidR="00C87EC4" w:rsidRPr="00D47213" w:rsidRDefault="00C87EC4" w:rsidP="00C87EC4">
      <w:pPr>
        <w:ind w:left="720" w:hanging="720"/>
        <w:jc w:val="both"/>
        <w:rPr>
          <w:rFonts w:ascii="Baskerville Old Face" w:eastAsia="Cambria" w:hAnsi="Baskerville Old Face" w:cs="Cambria"/>
          <w:sz w:val="24"/>
          <w:szCs w:val="24"/>
          <w:lang w:val="en-ID"/>
        </w:rPr>
      </w:pPr>
      <w:r w:rsidRPr="00D47213">
        <w:rPr>
          <w:rFonts w:ascii="Baskerville Old Face" w:eastAsia="Cambria" w:hAnsi="Baskerville Old Face" w:cs="Cambria"/>
          <w:sz w:val="24"/>
          <w:szCs w:val="24"/>
          <w:lang w:val="en-ID"/>
        </w:rPr>
        <w:t>Totalia, S. A., Sujadi, I., Hindrayani, A., &amp; Wahyudi, S. (2023). Persepsi dan pemaknaan guru tentang standar proses dan standar penilaian pendidikan. </w:t>
      </w:r>
      <w:r w:rsidRPr="00D47213">
        <w:rPr>
          <w:rFonts w:ascii="Baskerville Old Face" w:eastAsia="Cambria" w:hAnsi="Baskerville Old Face" w:cs="Cambria"/>
          <w:i/>
          <w:iCs/>
          <w:sz w:val="24"/>
          <w:szCs w:val="24"/>
          <w:lang w:val="en-ID"/>
        </w:rPr>
        <w:t>Jurnal Penelitian Kebijakan Pendidikan, 16</w:t>
      </w:r>
      <w:r w:rsidRPr="00D47213">
        <w:rPr>
          <w:rFonts w:ascii="Baskerville Old Face" w:eastAsia="Cambria" w:hAnsi="Baskerville Old Face" w:cs="Cambria"/>
          <w:sz w:val="24"/>
          <w:szCs w:val="24"/>
          <w:lang w:val="en-ID"/>
        </w:rPr>
        <w:t>(2).</w:t>
      </w:r>
    </w:p>
    <w:p w14:paraId="2525CF84" w14:textId="77777777" w:rsidR="00C87EC4" w:rsidRPr="00D47213" w:rsidRDefault="00C87EC4" w:rsidP="00C87EC4">
      <w:pPr>
        <w:ind w:left="720" w:hanging="720"/>
        <w:jc w:val="both"/>
        <w:rPr>
          <w:rFonts w:ascii="Baskerville Old Face" w:eastAsia="Cambria" w:hAnsi="Baskerville Old Face" w:cs="Cambria"/>
          <w:sz w:val="24"/>
          <w:szCs w:val="24"/>
          <w:lang w:val="pt-BR"/>
        </w:rPr>
      </w:pPr>
      <w:r w:rsidRPr="00D47213">
        <w:rPr>
          <w:rFonts w:ascii="Baskerville Old Face" w:eastAsia="Cambria" w:hAnsi="Baskerville Old Face" w:cs="Cambria"/>
          <w:sz w:val="24"/>
          <w:szCs w:val="24"/>
          <w:lang w:val="en-ID"/>
        </w:rPr>
        <w:t xml:space="preserve">Wang, C., Zhang, M., Sesunan, A., &amp; Yolanda, L. (2023). </w:t>
      </w:r>
      <w:r w:rsidRPr="00D47213">
        <w:rPr>
          <w:rFonts w:ascii="Baskerville Old Face" w:eastAsia="Cambria" w:hAnsi="Baskerville Old Face" w:cs="Cambria"/>
          <w:sz w:val="24"/>
          <w:szCs w:val="24"/>
          <w:lang w:val="pt-BR"/>
        </w:rPr>
        <w:t>Peran teknologi dalam transformasi pendidikan di Indonesia. </w:t>
      </w:r>
      <w:r w:rsidRPr="00D47213">
        <w:rPr>
          <w:rFonts w:ascii="Baskerville Old Face" w:eastAsia="Cambria" w:hAnsi="Baskerville Old Face" w:cs="Cambria"/>
          <w:i/>
          <w:iCs/>
          <w:sz w:val="24"/>
          <w:szCs w:val="24"/>
          <w:lang w:val="pt-BR"/>
        </w:rPr>
        <w:t>Kemdikbud, 4</w:t>
      </w:r>
      <w:r w:rsidRPr="00D47213">
        <w:rPr>
          <w:rFonts w:ascii="Baskerville Old Face" w:eastAsia="Cambria" w:hAnsi="Baskerville Old Face" w:cs="Cambria"/>
          <w:sz w:val="24"/>
          <w:szCs w:val="24"/>
          <w:lang w:val="pt-BR"/>
        </w:rPr>
        <w:t>(2), 1–7.</w:t>
      </w:r>
    </w:p>
    <w:p w14:paraId="5C0F2D3B" w14:textId="61059036" w:rsidR="001545D9" w:rsidRPr="00D47213" w:rsidRDefault="001545D9" w:rsidP="00633A50">
      <w:pPr>
        <w:ind w:left="720" w:hanging="720"/>
        <w:jc w:val="both"/>
        <w:rPr>
          <w:rFonts w:ascii="Baskerville Old Face" w:eastAsia="Cambria" w:hAnsi="Baskerville Old Face" w:cs="Cambria"/>
          <w:sz w:val="24"/>
          <w:szCs w:val="24"/>
        </w:rPr>
      </w:pPr>
    </w:p>
    <w:sectPr w:rsidR="001545D9" w:rsidRPr="00D47213" w:rsidSect="00AE26C9">
      <w:headerReference w:type="even" r:id="rId15"/>
      <w:headerReference w:type="default" r:id="rId16"/>
      <w:footerReference w:type="even" r:id="rId17"/>
      <w:footerReference w:type="default" r:id="rId18"/>
      <w:headerReference w:type="first" r:id="rId19"/>
      <w:footerReference w:type="first" r:id="rId20"/>
      <w:pgSz w:w="12242" w:h="15842"/>
      <w:pgMar w:top="1418" w:right="1185" w:bottom="1418" w:left="1418" w:header="1134" w:footer="1134" w:gutter="0"/>
      <w:pgNumType w:start="68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16E82" w14:textId="77777777" w:rsidR="008D31F3" w:rsidRDefault="008D31F3">
      <w:r>
        <w:separator/>
      </w:r>
    </w:p>
  </w:endnote>
  <w:endnote w:type="continuationSeparator" w:id="0">
    <w:p w14:paraId="163D101B" w14:textId="77777777" w:rsidR="008D31F3" w:rsidRDefault="008D3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Ample-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8770D" w14:textId="2210F017" w:rsidR="001545D9" w:rsidRPr="007F2A86" w:rsidRDefault="003C495F" w:rsidP="007F2A86">
    <w:pPr>
      <w:pBdr>
        <w:top w:val="nil"/>
        <w:left w:val="nil"/>
        <w:bottom w:val="nil"/>
        <w:right w:val="nil"/>
        <w:between w:val="nil"/>
      </w:pBdr>
      <w:tabs>
        <w:tab w:val="center" w:pos="4320"/>
        <w:tab w:val="left" w:pos="2992"/>
        <w:tab w:val="right" w:pos="9639"/>
      </w:tabs>
      <w:spacing w:before="240"/>
      <w:rPr>
        <w:rFonts w:ascii="Baskerville Old Face" w:hAnsi="Baskerville Old Face"/>
        <w:color w:val="000000"/>
      </w:rPr>
    </w:pPr>
    <w:r w:rsidRPr="007F2A86">
      <w:rPr>
        <w:rFonts w:ascii="Baskerville Old Face" w:hAnsi="Baskerville Old Face"/>
        <w:color w:val="000000"/>
      </w:rPr>
      <w:t xml:space="preserve">IJSSH </w:t>
    </w:r>
    <w:r w:rsidRPr="007F2A86">
      <w:rPr>
        <w:rFonts w:ascii="Baskerville Old Face" w:hAnsi="Baskerville Old Face"/>
        <w:color w:val="000000"/>
      </w:rPr>
      <w:tab/>
    </w:r>
    <w:r w:rsidR="0084183F">
      <w:rPr>
        <w:rFonts w:ascii="Baskerville Old Face" w:hAnsi="Baskerville Old Face"/>
        <w:color w:val="000000"/>
      </w:rPr>
      <w:tab/>
    </w:r>
    <w:r w:rsidRPr="007F2A86">
      <w:rPr>
        <w:rFonts w:ascii="Baskerville Old Face" w:hAnsi="Baskerville Old Face"/>
        <w:color w:val="000000"/>
      </w:rPr>
      <w:t xml:space="preserve">Vol. </w:t>
    </w:r>
    <w:r w:rsidR="0084183F">
      <w:rPr>
        <w:rFonts w:ascii="Baskerville Old Face" w:hAnsi="Baskerville Old Face"/>
        <w:color w:val="000000"/>
      </w:rPr>
      <w:t>4</w:t>
    </w:r>
    <w:r w:rsidRPr="007F2A86">
      <w:rPr>
        <w:rFonts w:ascii="Baskerville Old Face" w:hAnsi="Baskerville Old Face"/>
        <w:color w:val="000000"/>
      </w:rPr>
      <w:t xml:space="preserve"> No. </w:t>
    </w:r>
    <w:r w:rsidR="0084183F">
      <w:rPr>
        <w:rFonts w:ascii="Baskerville Old Face" w:hAnsi="Baskerville Old Face"/>
        <w:color w:val="000000"/>
      </w:rPr>
      <w:t>2</w:t>
    </w:r>
    <w:r w:rsidRPr="007F2A86">
      <w:rPr>
        <w:rFonts w:ascii="Baskerville Old Face" w:hAnsi="Baskerville Old Face"/>
        <w:color w:val="000000"/>
      </w:rPr>
      <w:t xml:space="preserve">, </w:t>
    </w:r>
    <w:r w:rsidR="0084183F">
      <w:rPr>
        <w:rFonts w:ascii="Baskerville Old Face" w:hAnsi="Baskerville Old Face"/>
        <w:color w:val="000000"/>
      </w:rPr>
      <w:t xml:space="preserve">Juni </w:t>
    </w:r>
    <w:r w:rsidRPr="007F2A86">
      <w:rPr>
        <w:rFonts w:ascii="Baskerville Old Face" w:eastAsia="Cambria" w:hAnsi="Baskerville Old Face" w:cs="Cambria"/>
        <w:color w:val="000000"/>
      </w:rPr>
      <w:t>202</w:t>
    </w:r>
    <w:r w:rsidR="0084183F">
      <w:rPr>
        <w:rFonts w:ascii="Baskerville Old Face" w:eastAsia="Cambria" w:hAnsi="Baskerville Old Face" w:cs="Cambria"/>
        <w:color w:val="000000"/>
      </w:rPr>
      <w:t>6</w:t>
    </w:r>
    <w:r w:rsidR="00D10F08">
      <w:rPr>
        <w:rFonts w:ascii="Baskerville Old Face" w:eastAsia="Cambria" w:hAnsi="Baskerville Old Face" w:cs="Cambria"/>
        <w:color w:val="000000"/>
      </w:rPr>
      <w:t>,</w:t>
    </w:r>
    <w:r w:rsidRPr="007F2A86">
      <w:rPr>
        <w:rFonts w:ascii="Baskerville Old Face" w:hAnsi="Baskerville Old Face"/>
        <w:color w:val="000000"/>
      </w:rPr>
      <w:t xml:space="preserve"> pages: </w:t>
    </w:r>
    <w:r w:rsidR="00AE26C9">
      <w:rPr>
        <w:rFonts w:ascii="Baskerville Old Face" w:hAnsi="Baskerville Old Face"/>
        <w:color w:val="000000"/>
      </w:rPr>
      <w:t>680</w:t>
    </w:r>
    <w:r w:rsidRPr="007F2A86">
      <w:rPr>
        <w:rFonts w:ascii="Baskerville Old Face" w:hAnsi="Baskerville Old Face"/>
        <w:color w:val="000000"/>
      </w:rPr>
      <w:t>-</w:t>
    </w:r>
    <w:r w:rsidRPr="007F2A86">
      <w:rPr>
        <w:rFonts w:ascii="Baskerville Old Face" w:hAnsi="Baskerville Old Face"/>
        <w:noProof/>
      </w:rPr>
      <mc:AlternateContent>
        <mc:Choice Requires="wps">
          <w:drawing>
            <wp:anchor distT="4294967295" distB="4294967295" distL="114300" distR="114300" simplePos="0" relativeHeight="251663360" behindDoc="0" locked="0" layoutInCell="1" hidden="0" allowOverlap="1" wp14:anchorId="312E3327" wp14:editId="546D26E0">
              <wp:simplePos x="0" y="0"/>
              <wp:positionH relativeFrom="column">
                <wp:posOffset>12701</wp:posOffset>
              </wp:positionH>
              <wp:positionV relativeFrom="paragraph">
                <wp:posOffset>93996</wp:posOffset>
              </wp:positionV>
              <wp:extent cx="0" cy="12700"/>
              <wp:effectExtent l="0" t="0" r="0" b="0"/>
              <wp:wrapNone/>
              <wp:docPr id="38" name="Straight Arrow Connector 38"/>
              <wp:cNvGraphicFramePr/>
              <a:graphic xmlns:a="http://schemas.openxmlformats.org/drawingml/2006/main">
                <a:graphicData uri="http://schemas.microsoft.com/office/word/2010/wordprocessingShape">
                  <wps:wsp>
                    <wps:cNvCnPr/>
                    <wps:spPr>
                      <a:xfrm>
                        <a:off x="2378963" y="3780000"/>
                        <a:ext cx="593407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0FA4E822" id="_x0000_t32" coordsize="21600,21600" o:spt="32" o:oned="t" path="m,l21600,21600e" filled="f">
              <v:path arrowok="t" fillok="f" o:connecttype="none"/>
              <o:lock v:ext="edit" shapetype="t"/>
            </v:shapetype>
            <v:shape id="Straight Arrow Connector 38" o:spid="_x0000_s1026" type="#_x0000_t32" style="position:absolute;margin-left:1pt;margin-top:7.4pt;width:0;height:1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" strokecolor="black [3200]">
              <v:stroke startarrowwidth="narrow" startarrowlength="short" endarrowwidth="narrow" endarrowlength="short"/>
            </v:shape>
          </w:pict>
        </mc:Fallback>
      </mc:AlternateContent>
    </w:r>
    <w:r w:rsidR="00AE26C9">
      <w:rPr>
        <w:rFonts w:ascii="Baskerville Old Face" w:hAnsi="Baskerville Old Face"/>
        <w:color w:val="000000"/>
      </w:rPr>
      <w:t>697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0131" w14:textId="7ACC79E7" w:rsidR="001545D9" w:rsidRDefault="0084183F" w:rsidP="007F2A86">
    <w:pPr>
      <w:pBdr>
        <w:top w:val="single" w:sz="4" w:space="1" w:color="000000"/>
        <w:left w:val="nil"/>
        <w:bottom w:val="nil"/>
        <w:right w:val="nil"/>
        <w:between w:val="nil"/>
      </w:pBdr>
      <w:tabs>
        <w:tab w:val="center" w:pos="0"/>
        <w:tab w:val="right" w:pos="9639"/>
      </w:tabs>
      <w:jc w:val="right"/>
      <w:rPr>
        <w:i/>
        <w:color w:val="000000"/>
      </w:rPr>
    </w:pPr>
    <w:r w:rsidRPr="0084183F">
      <w:rPr>
        <w:rFonts w:ascii="Baskerville Old Face" w:eastAsia="Cambria" w:hAnsi="Baskerville Old Face" w:cs="Cambria"/>
        <w:i/>
        <w:iCs/>
        <w:lang w:val="en-ID"/>
      </w:rPr>
      <w:t>The Influence of the Use of Information and Communication Technology and Facilities and Infrastructure</w:t>
    </w:r>
    <w:r w:rsidR="003C495F">
      <w:rPr>
        <w:i/>
        <w:color w:val="000000"/>
      </w:rPr>
      <w:t>….</w:t>
    </w:r>
  </w:p>
  <w:p w14:paraId="0BA46DAD" w14:textId="6CB675D9" w:rsidR="001545D9" w:rsidRDefault="003C495F" w:rsidP="007F2A86">
    <w:pPr>
      <w:pBdr>
        <w:top w:val="single" w:sz="4" w:space="1" w:color="000000"/>
        <w:left w:val="nil"/>
        <w:bottom w:val="nil"/>
        <w:right w:val="nil"/>
        <w:between w:val="nil"/>
      </w:pBdr>
      <w:tabs>
        <w:tab w:val="center" w:pos="0"/>
        <w:tab w:val="right" w:pos="9639"/>
      </w:tabs>
      <w:jc w:val="right"/>
      <w:rPr>
        <w:i/>
        <w:color w:val="000000"/>
      </w:rPr>
    </w:pPr>
    <w:r>
      <w:rPr>
        <w:i/>
        <w:color w:val="000000"/>
      </w:rPr>
      <w:t>(</w:t>
    </w:r>
    <w:r w:rsidR="0084183F">
      <w:rPr>
        <w:i/>
        <w:color w:val="000000"/>
      </w:rPr>
      <w:t>Hartono et al. 2026</w:t>
    </w:r>
    <w:r>
      <w:rPr>
        <w:i/>
        <w:color w:val="00000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90670" w14:textId="77777777" w:rsidR="001545D9" w:rsidRDefault="001545D9">
    <w:pPr>
      <w:pBdr>
        <w:top w:val="nil"/>
        <w:left w:val="nil"/>
        <w:bottom w:val="nil"/>
        <w:right w:val="nil"/>
        <w:between w:val="nil"/>
      </w:pBdr>
      <w:tabs>
        <w:tab w:val="center" w:pos="4320"/>
        <w:tab w:val="right" w:pos="8640"/>
      </w:tabs>
      <w:jc w:val="center"/>
      <w:rPr>
        <w:color w:val="000000"/>
        <w:sz w:val="2"/>
        <w:szCs w:val="2"/>
      </w:rPr>
    </w:pPr>
  </w:p>
  <w:p w14:paraId="08C8B64E" w14:textId="57713453" w:rsidR="001545D9" w:rsidRPr="001D147F" w:rsidRDefault="00AE26C9">
    <w:pPr>
      <w:pBdr>
        <w:top w:val="single" w:sz="4" w:space="10" w:color="000000"/>
        <w:left w:val="nil"/>
        <w:bottom w:val="nil"/>
        <w:right w:val="nil"/>
        <w:between w:val="nil"/>
      </w:pBdr>
      <w:tabs>
        <w:tab w:val="center" w:pos="4320"/>
        <w:tab w:val="right" w:pos="8640"/>
      </w:tabs>
      <w:jc w:val="right"/>
      <w:rPr>
        <w:b/>
        <w:bCs/>
        <w:color w:val="000000"/>
      </w:rPr>
    </w:pPr>
    <w:r>
      <w:rPr>
        <w:b/>
        <w:bCs/>
        <w:color w:val="000000"/>
      </w:rPr>
      <w:t>680</w:t>
    </w:r>
  </w:p>
  <w:p w14:paraId="170689FB" w14:textId="77777777" w:rsidR="001545D9" w:rsidRDefault="001545D9">
    <w:pPr>
      <w:pBdr>
        <w:top w:val="single" w:sz="4" w:space="10" w:color="000000"/>
        <w:left w:val="nil"/>
        <w:bottom w:val="nil"/>
        <w:right w:val="nil"/>
        <w:between w:val="nil"/>
      </w:pBdr>
      <w:tabs>
        <w:tab w:val="center" w:pos="4320"/>
        <w:tab w:val="right" w:pos="8640"/>
      </w:tabs>
      <w:spacing w:before="24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DA341" w14:textId="77777777" w:rsidR="008D31F3" w:rsidRDefault="008D31F3">
      <w:r>
        <w:separator/>
      </w:r>
    </w:p>
  </w:footnote>
  <w:footnote w:type="continuationSeparator" w:id="0">
    <w:p w14:paraId="35C0E081" w14:textId="77777777" w:rsidR="008D31F3" w:rsidRDefault="008D31F3">
      <w:r>
        <w:continuationSeparator/>
      </w:r>
    </w:p>
  </w:footnote>
  <w:footnote w:id="1">
    <w:p w14:paraId="7D2FCFC1" w14:textId="61586246" w:rsidR="001545D9" w:rsidRPr="00D47213" w:rsidRDefault="003C495F" w:rsidP="00D47213">
      <w:pPr>
        <w:pBdr>
          <w:top w:val="nil"/>
          <w:left w:val="nil"/>
          <w:bottom w:val="nil"/>
          <w:right w:val="nil"/>
          <w:between w:val="nil"/>
        </w:pBdr>
        <w:ind w:left="142" w:hanging="142"/>
        <w:rPr>
          <w:rFonts w:ascii="Baskerville Old Face" w:eastAsia="Cambria" w:hAnsi="Baskerville Old Face" w:cs="Cambria"/>
          <w:iCs/>
          <w:sz w:val="18"/>
          <w:szCs w:val="18"/>
          <w:lang w:val="en-ID"/>
        </w:rPr>
      </w:pPr>
      <w:r w:rsidRPr="007F2A86">
        <w:rPr>
          <w:rStyle w:val="FootnoteReference"/>
          <w:rFonts w:ascii="Baskerville Old Face" w:hAnsi="Baskerville Old Face"/>
          <w:color w:val="FFC000"/>
        </w:rPr>
        <w:footnoteRef/>
      </w:r>
      <w:r w:rsidRPr="007F2A86">
        <w:rPr>
          <w:rFonts w:ascii="Baskerville Old Face" w:hAnsi="Baskerville Old Face"/>
          <w:color w:val="FFC000"/>
        </w:rPr>
        <w:t xml:space="preserve"> </w:t>
      </w:r>
      <w:r w:rsidRPr="007F2A86">
        <w:rPr>
          <w:rFonts w:ascii="Baskerville Old Face" w:hAnsi="Baskerville Old Face"/>
          <w:color w:val="FFC000"/>
        </w:rPr>
        <w:tab/>
      </w:r>
      <w:r w:rsidR="00D47213" w:rsidRPr="00D47213">
        <w:rPr>
          <w:rFonts w:ascii="Baskerville Old Face" w:eastAsia="Cambria" w:hAnsi="Baskerville Old Face" w:cs="Cambria"/>
          <w:color w:val="000000"/>
          <w:sz w:val="18"/>
          <w:szCs w:val="18"/>
        </w:rPr>
        <w:t>Management</w:t>
      </w:r>
      <w:r w:rsidR="00D47213" w:rsidRPr="00D47213">
        <w:rPr>
          <w:rFonts w:ascii="Baskerville Old Face" w:eastAsia="Cambria" w:hAnsi="Baskerville Old Face" w:cs="Cambria"/>
          <w:iCs/>
          <w:sz w:val="18"/>
          <w:szCs w:val="18"/>
          <w:lang w:val="en-ID"/>
        </w:rPr>
        <w:t xml:space="preserve"> /PGRI University Palembang</w:t>
      </w:r>
      <w:r w:rsidR="00D47213">
        <w:rPr>
          <w:rFonts w:ascii="Baskerville Old Face" w:eastAsia="Cambria" w:hAnsi="Baskerville Old Face" w:cs="Cambria"/>
          <w:iCs/>
          <w:sz w:val="18"/>
          <w:szCs w:val="18"/>
          <w:lang w:val="en-ID"/>
        </w:rPr>
        <w:t>, Indonesia</w:t>
      </w:r>
    </w:p>
  </w:footnote>
  <w:footnote w:id="2">
    <w:p w14:paraId="3912F02B" w14:textId="77777777" w:rsidR="00D47213" w:rsidRPr="00D47213" w:rsidRDefault="00D47213" w:rsidP="00D47213">
      <w:pPr>
        <w:pBdr>
          <w:top w:val="nil"/>
          <w:left w:val="nil"/>
          <w:bottom w:val="nil"/>
          <w:right w:val="nil"/>
          <w:between w:val="nil"/>
        </w:pBdr>
        <w:ind w:left="142" w:hanging="142"/>
        <w:rPr>
          <w:rFonts w:ascii="Baskerville Old Face" w:eastAsia="Cambria" w:hAnsi="Baskerville Old Face" w:cs="Cambria"/>
          <w:iCs/>
          <w:sz w:val="18"/>
          <w:szCs w:val="18"/>
          <w:lang w:val="en-ID"/>
        </w:rPr>
      </w:pPr>
      <w:r w:rsidRPr="007F2A86">
        <w:rPr>
          <w:rStyle w:val="FootnoteReference"/>
          <w:rFonts w:ascii="Baskerville Old Face" w:hAnsi="Baskerville Old Face"/>
          <w:color w:val="FFC000"/>
        </w:rPr>
        <w:footnoteRef/>
      </w:r>
      <w:r w:rsidRPr="007F2A86">
        <w:rPr>
          <w:rFonts w:ascii="Baskerville Old Face" w:hAnsi="Baskerville Old Face"/>
          <w:color w:val="FFC000"/>
        </w:rPr>
        <w:t xml:space="preserve"> </w:t>
      </w:r>
      <w:r w:rsidRPr="007F2A86">
        <w:rPr>
          <w:rFonts w:ascii="Baskerville Old Face" w:hAnsi="Baskerville Old Face"/>
          <w:color w:val="FFC000"/>
        </w:rPr>
        <w:tab/>
      </w:r>
      <w:r w:rsidRPr="00D47213">
        <w:rPr>
          <w:rFonts w:ascii="Baskerville Old Face" w:eastAsia="Cambria" w:hAnsi="Baskerville Old Face" w:cs="Cambria"/>
          <w:color w:val="000000"/>
          <w:sz w:val="18"/>
          <w:szCs w:val="18"/>
        </w:rPr>
        <w:t>Management</w:t>
      </w:r>
      <w:r w:rsidRPr="00D47213">
        <w:rPr>
          <w:rFonts w:ascii="Baskerville Old Face" w:eastAsia="Cambria" w:hAnsi="Baskerville Old Face" w:cs="Cambria"/>
          <w:iCs/>
          <w:sz w:val="18"/>
          <w:szCs w:val="18"/>
          <w:lang w:val="en-ID"/>
        </w:rPr>
        <w:t xml:space="preserve"> /PGRI University Palembang</w:t>
      </w:r>
      <w:r>
        <w:rPr>
          <w:rFonts w:ascii="Baskerville Old Face" w:eastAsia="Cambria" w:hAnsi="Baskerville Old Face" w:cs="Cambria"/>
          <w:iCs/>
          <w:sz w:val="18"/>
          <w:szCs w:val="18"/>
          <w:lang w:val="en-ID"/>
        </w:rPr>
        <w:t>, Indonesia</w:t>
      </w:r>
    </w:p>
  </w:footnote>
  <w:footnote w:id="3">
    <w:p w14:paraId="369E8471" w14:textId="77777777" w:rsidR="00D47213" w:rsidRPr="00D47213" w:rsidRDefault="00D47213" w:rsidP="00D47213">
      <w:pPr>
        <w:pBdr>
          <w:top w:val="nil"/>
          <w:left w:val="nil"/>
          <w:bottom w:val="nil"/>
          <w:right w:val="nil"/>
          <w:between w:val="nil"/>
        </w:pBdr>
        <w:ind w:left="142" w:hanging="142"/>
        <w:rPr>
          <w:rFonts w:ascii="Baskerville Old Face" w:eastAsia="Cambria" w:hAnsi="Baskerville Old Face" w:cs="Cambria"/>
          <w:iCs/>
          <w:sz w:val="18"/>
          <w:szCs w:val="18"/>
          <w:lang w:val="en-ID"/>
        </w:rPr>
      </w:pPr>
      <w:r w:rsidRPr="007F2A86">
        <w:rPr>
          <w:rStyle w:val="FootnoteReference"/>
          <w:rFonts w:ascii="Baskerville Old Face" w:hAnsi="Baskerville Old Face"/>
          <w:color w:val="FFC000"/>
        </w:rPr>
        <w:footnoteRef/>
      </w:r>
      <w:r w:rsidRPr="007F2A86">
        <w:rPr>
          <w:rFonts w:ascii="Baskerville Old Face" w:hAnsi="Baskerville Old Face"/>
          <w:color w:val="FFC000"/>
        </w:rPr>
        <w:t xml:space="preserve"> </w:t>
      </w:r>
      <w:r w:rsidRPr="007F2A86">
        <w:rPr>
          <w:rFonts w:ascii="Baskerville Old Face" w:hAnsi="Baskerville Old Face"/>
          <w:color w:val="FFC000"/>
        </w:rPr>
        <w:tab/>
      </w:r>
      <w:r w:rsidRPr="00D47213">
        <w:rPr>
          <w:rFonts w:ascii="Baskerville Old Face" w:eastAsia="Cambria" w:hAnsi="Baskerville Old Face" w:cs="Cambria"/>
          <w:color w:val="000000"/>
          <w:sz w:val="18"/>
          <w:szCs w:val="18"/>
        </w:rPr>
        <w:t>Management</w:t>
      </w:r>
      <w:r w:rsidRPr="00D47213">
        <w:rPr>
          <w:rFonts w:ascii="Baskerville Old Face" w:eastAsia="Cambria" w:hAnsi="Baskerville Old Face" w:cs="Cambria"/>
          <w:iCs/>
          <w:sz w:val="18"/>
          <w:szCs w:val="18"/>
          <w:lang w:val="en-ID"/>
        </w:rPr>
        <w:t xml:space="preserve"> /PGRI University Palembang</w:t>
      </w:r>
      <w:r>
        <w:rPr>
          <w:rFonts w:ascii="Baskerville Old Face" w:eastAsia="Cambria" w:hAnsi="Baskerville Old Face" w:cs="Cambria"/>
          <w:iCs/>
          <w:sz w:val="18"/>
          <w:szCs w:val="18"/>
          <w:lang w:val="en-ID"/>
        </w:rPr>
        <w:t>, Indonesia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B2FC" w14:textId="77777777" w:rsidR="001545D9" w:rsidRPr="001D147F" w:rsidRDefault="003C495F" w:rsidP="00AE26C9">
    <w:pPr>
      <w:pBdr>
        <w:top w:val="nil"/>
        <w:left w:val="nil"/>
        <w:bottom w:val="nil"/>
        <w:right w:val="nil"/>
        <w:between w:val="nil"/>
      </w:pBdr>
      <w:tabs>
        <w:tab w:val="center" w:pos="4320"/>
        <w:tab w:val="right" w:pos="8640"/>
      </w:tabs>
      <w:jc w:val="right"/>
      <w:rPr>
        <w:rFonts w:ascii="Baskerville Old Face" w:hAnsi="Baskerville Old Face"/>
        <w:b/>
        <w:bCs/>
        <w:color w:val="000000"/>
      </w:rPr>
    </w:pPr>
    <w:r w:rsidRPr="001D147F">
      <w:rPr>
        <w:rFonts w:ascii="Baskerville Old Face" w:hAnsi="Baskerville Old Face"/>
        <w:b/>
        <w:bCs/>
        <w:color w:val="000000"/>
      </w:rPr>
      <w:fldChar w:fldCharType="begin"/>
    </w:r>
    <w:r w:rsidRPr="001D147F">
      <w:rPr>
        <w:rFonts w:ascii="Baskerville Old Face" w:hAnsi="Baskerville Old Face"/>
        <w:b/>
        <w:bCs/>
        <w:color w:val="000000"/>
      </w:rPr>
      <w:instrText>PAGE</w:instrText>
    </w:r>
    <w:r w:rsidRPr="001D147F">
      <w:rPr>
        <w:rFonts w:ascii="Baskerville Old Face" w:hAnsi="Baskerville Old Face"/>
        <w:b/>
        <w:bCs/>
        <w:color w:val="000000"/>
      </w:rPr>
      <w:fldChar w:fldCharType="separate"/>
    </w:r>
    <w:r w:rsidR="00E754A3">
      <w:rPr>
        <w:rFonts w:ascii="Baskerville Old Face" w:hAnsi="Baskerville Old Face"/>
        <w:b/>
        <w:bCs/>
        <w:noProof/>
        <w:color w:val="000000"/>
      </w:rPr>
      <w:t>4</w:t>
    </w:r>
    <w:r w:rsidRPr="001D147F">
      <w:rPr>
        <w:rFonts w:ascii="Baskerville Old Face" w:hAnsi="Baskerville Old Face"/>
        <w:b/>
        <w:bCs/>
        <w:color w:val="000000"/>
      </w:rPr>
      <w:fldChar w:fldCharType="end"/>
    </w:r>
  </w:p>
  <w:p w14:paraId="6A6243DD" w14:textId="6B831826" w:rsidR="001545D9" w:rsidRPr="001D147F" w:rsidRDefault="00AE26C9" w:rsidP="00AE26C9">
    <w:pPr>
      <w:pBdr>
        <w:top w:val="nil"/>
        <w:left w:val="nil"/>
        <w:bottom w:val="nil"/>
        <w:right w:val="nil"/>
        <w:between w:val="nil"/>
      </w:pBdr>
      <w:tabs>
        <w:tab w:val="center" w:pos="4320"/>
        <w:tab w:val="right" w:pos="851"/>
        <w:tab w:val="left" w:pos="3405"/>
        <w:tab w:val="right" w:pos="9639"/>
      </w:tabs>
      <w:spacing w:after="240"/>
      <w:rPr>
        <w:rFonts w:ascii="Baskerville Old Face" w:hAnsi="Baskerville Old Face"/>
        <w:b/>
        <w:bCs/>
        <w:color w:val="000000"/>
      </w:rPr>
    </w:pPr>
    <w:r w:rsidRPr="007F2A86">
      <w:rPr>
        <w:rFonts w:ascii="Baskerville Old Face" w:hAnsi="Baskerville Old Face"/>
        <w:color w:val="000000"/>
      </w:rPr>
      <w:t xml:space="preserve">IJSSH </w:t>
    </w:r>
    <w:r w:rsidRPr="007F2A86">
      <w:rPr>
        <w:rFonts w:ascii="Baskerville Old Face" w:hAnsi="Baskerville Old Face"/>
        <w:color w:val="000000"/>
      </w:rPr>
      <w:tab/>
    </w:r>
    <w:r w:rsidRPr="007F2A86">
      <w:rPr>
        <w:rFonts w:ascii="Baskerville Old Face" w:hAnsi="Baskerville Old Face"/>
        <w:b/>
        <w:bCs/>
        <w:color w:val="000000"/>
      </w:rPr>
      <w:t xml:space="preserve">e-ISSN: </w:t>
    </w:r>
    <w:r w:rsidRPr="007F2A86">
      <w:rPr>
        <w:rFonts w:ascii="Baskerville Old Face" w:hAnsi="Baskerville Old Face"/>
        <w:b/>
        <w:bCs/>
      </w:rPr>
      <w:t xml:space="preserve">2985 </w:t>
    </w:r>
    <w:r w:rsidRPr="007F2A86">
      <w:rPr>
        <w:rFonts w:ascii="Baskerville Old Face" w:hAnsi="Baskerville Old Face"/>
        <w:b/>
        <w:bCs/>
        <w:color w:val="000000"/>
      </w:rPr>
      <w:t xml:space="preserve">- </w:t>
    </w:r>
    <w:r w:rsidRPr="007F2A86">
      <w:rPr>
        <w:rFonts w:ascii="Baskerville Old Face" w:hAnsi="Baskerville Old Face"/>
        <w:b/>
        <w:bCs/>
      </w:rPr>
      <w:t>6469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23FBE" w14:textId="77777777" w:rsidR="001545D9" w:rsidRPr="001D147F" w:rsidRDefault="003C495F" w:rsidP="00AE26C9">
    <w:pPr>
      <w:pBdr>
        <w:top w:val="nil"/>
        <w:left w:val="nil"/>
        <w:bottom w:val="nil"/>
        <w:right w:val="nil"/>
        <w:between w:val="nil"/>
      </w:pBdr>
      <w:tabs>
        <w:tab w:val="center" w:pos="4320"/>
        <w:tab w:val="right" w:pos="8640"/>
      </w:tabs>
      <w:jc w:val="right"/>
      <w:rPr>
        <w:rFonts w:ascii="Baskerville Old Face" w:hAnsi="Baskerville Old Face"/>
        <w:b/>
        <w:bCs/>
        <w:color w:val="000000"/>
      </w:rPr>
    </w:pPr>
    <w:r w:rsidRPr="001D147F">
      <w:rPr>
        <w:rFonts w:ascii="Baskerville Old Face" w:hAnsi="Baskerville Old Face"/>
        <w:b/>
        <w:bCs/>
        <w:color w:val="000000"/>
      </w:rPr>
      <w:fldChar w:fldCharType="begin"/>
    </w:r>
    <w:r w:rsidRPr="001D147F">
      <w:rPr>
        <w:rFonts w:ascii="Baskerville Old Face" w:hAnsi="Baskerville Old Face"/>
        <w:b/>
        <w:bCs/>
        <w:color w:val="000000"/>
      </w:rPr>
      <w:instrText>PAGE</w:instrText>
    </w:r>
    <w:r w:rsidRPr="001D147F">
      <w:rPr>
        <w:rFonts w:ascii="Baskerville Old Face" w:hAnsi="Baskerville Old Face"/>
        <w:b/>
        <w:bCs/>
        <w:color w:val="000000"/>
      </w:rPr>
      <w:fldChar w:fldCharType="separate"/>
    </w:r>
    <w:r w:rsidR="00E754A3">
      <w:rPr>
        <w:rFonts w:ascii="Baskerville Old Face" w:hAnsi="Baskerville Old Face"/>
        <w:b/>
        <w:bCs/>
        <w:noProof/>
        <w:color w:val="000000"/>
      </w:rPr>
      <w:t>3</w:t>
    </w:r>
    <w:r w:rsidRPr="001D147F">
      <w:rPr>
        <w:rFonts w:ascii="Baskerville Old Face" w:hAnsi="Baskerville Old Face"/>
        <w:b/>
        <w:bCs/>
        <w:color w:val="000000"/>
      </w:rPr>
      <w:fldChar w:fldCharType="end"/>
    </w:r>
  </w:p>
  <w:p w14:paraId="11743F02" w14:textId="77777777" w:rsidR="001545D9" w:rsidRPr="007F2A86" w:rsidRDefault="003C495F">
    <w:pPr>
      <w:pBdr>
        <w:top w:val="nil"/>
        <w:left w:val="nil"/>
        <w:bottom w:val="single" w:sz="4" w:space="7" w:color="000000"/>
        <w:right w:val="nil"/>
        <w:between w:val="nil"/>
      </w:pBdr>
      <w:tabs>
        <w:tab w:val="center" w:pos="4320"/>
        <w:tab w:val="right" w:pos="8640"/>
        <w:tab w:val="left" w:pos="0"/>
        <w:tab w:val="center" w:pos="4301"/>
        <w:tab w:val="left" w:pos="7938"/>
      </w:tabs>
      <w:rPr>
        <w:rFonts w:ascii="Baskerville Old Face" w:hAnsi="Baskerville Old Face"/>
        <w:color w:val="000000"/>
      </w:rPr>
    </w:pPr>
    <w:r w:rsidRPr="007F2A86">
      <w:rPr>
        <w:rFonts w:ascii="Baskerville Old Face" w:hAnsi="Baskerville Old Face"/>
        <w:color w:val="000000"/>
      </w:rPr>
      <w:t xml:space="preserve">IJSSH </w:t>
    </w:r>
    <w:r w:rsidRPr="007F2A86">
      <w:rPr>
        <w:rFonts w:ascii="Baskerville Old Face" w:hAnsi="Baskerville Old Face"/>
        <w:color w:val="000000"/>
      </w:rPr>
      <w:tab/>
    </w:r>
    <w:r w:rsidRPr="007F2A86">
      <w:rPr>
        <w:rFonts w:ascii="Baskerville Old Face" w:hAnsi="Baskerville Old Face"/>
        <w:b/>
        <w:bCs/>
        <w:color w:val="000000"/>
      </w:rPr>
      <w:t xml:space="preserve">e-ISSN: </w:t>
    </w:r>
    <w:r w:rsidRPr="007F2A86">
      <w:rPr>
        <w:rFonts w:ascii="Baskerville Old Face" w:hAnsi="Baskerville Old Face"/>
        <w:b/>
        <w:bCs/>
      </w:rPr>
      <w:t xml:space="preserve">2985 </w:t>
    </w:r>
    <w:r w:rsidRPr="007F2A86">
      <w:rPr>
        <w:rFonts w:ascii="Baskerville Old Face" w:hAnsi="Baskerville Old Face"/>
        <w:b/>
        <w:bCs/>
        <w:color w:val="000000"/>
      </w:rPr>
      <w:t xml:space="preserve">- </w:t>
    </w:r>
    <w:r w:rsidRPr="007F2A86">
      <w:rPr>
        <w:rFonts w:ascii="Baskerville Old Face" w:hAnsi="Baskerville Old Face"/>
        <w:b/>
        <w:bCs/>
      </w:rPr>
      <w:t>6469</w:t>
    </w:r>
    <w:r w:rsidRPr="007F2A86">
      <w:rPr>
        <w:rFonts w:ascii="Baskerville Old Face" w:hAnsi="Baskerville Old Face"/>
        <w:color w:val="00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9FC0" w14:textId="77777777" w:rsidR="001545D9" w:rsidRPr="007F2A86" w:rsidRDefault="003C495F">
    <w:pPr>
      <w:spacing w:before="160"/>
      <w:ind w:left="1418"/>
      <w:rPr>
        <w:rFonts w:ascii="Baskerville Old Face" w:eastAsia="Ample-Bold" w:hAnsi="Baskerville Old Face" w:cs="Ample-Bold"/>
        <w:b/>
        <w:color w:val="000099"/>
        <w:sz w:val="26"/>
        <w:szCs w:val="26"/>
      </w:rPr>
    </w:pPr>
    <w:r w:rsidRPr="007F2A86">
      <w:rPr>
        <w:rFonts w:ascii="Baskerville Old Face" w:eastAsia="Ample-Bold" w:hAnsi="Baskerville Old Face" w:cs="Ample-Bold"/>
        <w:b/>
        <w:color w:val="000099"/>
        <w:sz w:val="26"/>
        <w:szCs w:val="26"/>
      </w:rPr>
      <w:t>International Journal of Social Sciences and Humanities</w:t>
    </w:r>
    <w:r w:rsidRPr="007F2A86">
      <w:rPr>
        <w:rFonts w:ascii="Baskerville Old Face" w:hAnsi="Baskerville Old Face"/>
        <w:noProof/>
      </w:rPr>
      <mc:AlternateContent>
        <mc:Choice Requires="wps">
          <w:drawing>
            <wp:anchor distT="0" distB="0" distL="114300" distR="114300" simplePos="0" relativeHeight="251658240" behindDoc="0" locked="0" layoutInCell="1" hidden="0" allowOverlap="1" wp14:anchorId="7A7932B1" wp14:editId="169AAFE8">
              <wp:simplePos x="0" y="0"/>
              <wp:positionH relativeFrom="column">
                <wp:posOffset>-12699</wp:posOffset>
              </wp:positionH>
              <wp:positionV relativeFrom="paragraph">
                <wp:posOffset>-63499</wp:posOffset>
              </wp:positionV>
              <wp:extent cx="0" cy="50800"/>
              <wp:effectExtent l="0" t="0" r="0" b="0"/>
              <wp:wrapNone/>
              <wp:docPr id="36" name="Straight Arrow Connector 36"/>
              <wp:cNvGraphicFramePr/>
              <a:graphic xmlns:a="http://schemas.openxmlformats.org/drawingml/2006/main">
                <a:graphicData uri="http://schemas.microsoft.com/office/word/2010/wordprocessingShape">
                  <wps:wsp>
                    <wps:cNvCnPr/>
                    <wps:spPr>
                      <a:xfrm>
                        <a:off x="2354198" y="3780000"/>
                        <a:ext cx="5983605" cy="0"/>
                      </a:xfrm>
                      <a:prstGeom prst="straightConnector1">
                        <a:avLst/>
                      </a:prstGeom>
                      <a:noFill/>
                      <a:ln w="50800" cap="flat" cmpd="thickThin">
                        <a:solidFill>
                          <a:srgbClr val="FFC000"/>
                        </a:solidFill>
                        <a:prstDash val="solid"/>
                        <a:round/>
                        <a:headEnd type="none" w="med" len="med"/>
                        <a:tailEnd type="none" w="med" len="med"/>
                      </a:ln>
                    </wps:spPr>
                    <wps:bodyPr/>
                  </wps:wsp>
                </a:graphicData>
              </a:graphic>
            </wp:anchor>
          </w:drawing>
        </mc:Choice>
        <mc:Fallback>
          <w:pict>
            <v:shapetype w14:anchorId="018E307B" id="_x0000_t32" coordsize="21600,21600" o:spt="32" o:oned="t" path="m,l21600,21600e" filled="f">
              <v:path arrowok="t" fillok="f" o:connecttype="none"/>
              <o:lock v:ext="edit" shapetype="t"/>
            </v:shapetype>
            <v:shape id="Straight Arrow Connector 36" o:spid="_x0000_s1026" type="#_x0000_t32" style="position:absolute;margin-left:-1pt;margin-top:-5pt;width:0;height:4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" strokecolor="#ffc000" strokeweight="4pt">
              <v:stroke linestyle="thickThin"/>
            </v:shape>
          </w:pict>
        </mc:Fallback>
      </mc:AlternateContent>
    </w:r>
    <w:r w:rsidRPr="007F2A86">
      <w:rPr>
        <w:rFonts w:ascii="Baskerville Old Face" w:hAnsi="Baskerville Old Face"/>
        <w:noProof/>
      </w:rPr>
      <w:drawing>
        <wp:anchor distT="0" distB="0" distL="114300" distR="114300" simplePos="0" relativeHeight="251659264" behindDoc="0" locked="0" layoutInCell="1" hidden="0" allowOverlap="1" wp14:anchorId="475B17A5" wp14:editId="0CA6EFE8">
          <wp:simplePos x="0" y="0"/>
          <wp:positionH relativeFrom="column">
            <wp:posOffset>4989195</wp:posOffset>
          </wp:positionH>
          <wp:positionV relativeFrom="paragraph">
            <wp:posOffset>-24129</wp:posOffset>
          </wp:positionV>
          <wp:extent cx="1002030" cy="844550"/>
          <wp:effectExtent l="0" t="0" r="0" b="0"/>
          <wp:wrapSquare wrapText="bothSides" distT="0" distB="0" distL="114300" distR="114300"/>
          <wp:docPr id="3786293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002030" cy="844550"/>
                  </a:xfrm>
                  <a:prstGeom prst="rect">
                    <a:avLst/>
                  </a:prstGeom>
                  <a:ln/>
                </pic:spPr>
              </pic:pic>
            </a:graphicData>
          </a:graphic>
        </wp:anchor>
      </w:drawing>
    </w:r>
    <w:r w:rsidRPr="007F2A86">
      <w:rPr>
        <w:rFonts w:ascii="Baskerville Old Face" w:hAnsi="Baskerville Old Face"/>
        <w:noProof/>
      </w:rPr>
      <w:drawing>
        <wp:anchor distT="0" distB="0" distL="114300" distR="114300" simplePos="0" relativeHeight="251660288" behindDoc="0" locked="0" layoutInCell="1" hidden="0" allowOverlap="1" wp14:anchorId="7B4E5E63" wp14:editId="0887E445">
          <wp:simplePos x="0" y="0"/>
          <wp:positionH relativeFrom="column">
            <wp:posOffset>-4444</wp:posOffset>
          </wp:positionH>
          <wp:positionV relativeFrom="paragraph">
            <wp:posOffset>-14604</wp:posOffset>
          </wp:positionV>
          <wp:extent cx="683260" cy="902970"/>
          <wp:effectExtent l="0" t="0" r="0" b="0"/>
          <wp:wrapSquare wrapText="bothSides" distT="0" distB="0" distL="114300" distR="114300"/>
          <wp:docPr id="133543599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
                  <a:srcRect/>
                  <a:stretch>
                    <a:fillRect/>
                  </a:stretch>
                </pic:blipFill>
                <pic:spPr>
                  <a:xfrm>
                    <a:off x="0" y="0"/>
                    <a:ext cx="683260" cy="902970"/>
                  </a:xfrm>
                  <a:prstGeom prst="rect">
                    <a:avLst/>
                  </a:prstGeom>
                  <a:ln/>
                </pic:spPr>
              </pic:pic>
            </a:graphicData>
          </a:graphic>
        </wp:anchor>
      </w:drawing>
    </w:r>
  </w:p>
  <w:p w14:paraId="35D64B96" w14:textId="0C254707" w:rsidR="001545D9" w:rsidRPr="007F2A86" w:rsidRDefault="003C495F">
    <w:pPr>
      <w:ind w:left="1418"/>
      <w:rPr>
        <w:rFonts w:ascii="Baskerville Old Face" w:eastAsia="Cambria" w:hAnsi="Baskerville Old Face" w:cs="Cambria"/>
        <w:color w:val="000099"/>
        <w:sz w:val="24"/>
        <w:szCs w:val="24"/>
      </w:rPr>
    </w:pPr>
    <w:r w:rsidRPr="007F2A86">
      <w:rPr>
        <w:rFonts w:ascii="Baskerville Old Face" w:eastAsia="Cambria" w:hAnsi="Baskerville Old Face" w:cs="Cambria"/>
        <w:color w:val="000099"/>
        <w:sz w:val="24"/>
        <w:szCs w:val="24"/>
      </w:rPr>
      <w:t xml:space="preserve">Vol. </w:t>
    </w:r>
    <w:r w:rsidR="0084183F">
      <w:rPr>
        <w:rFonts w:ascii="Baskerville Old Face" w:eastAsia="Cambria" w:hAnsi="Baskerville Old Face" w:cs="Cambria"/>
        <w:color w:val="000099"/>
        <w:sz w:val="24"/>
        <w:szCs w:val="24"/>
      </w:rPr>
      <w:t>4</w:t>
    </w:r>
    <w:r w:rsidRPr="007F2A86">
      <w:rPr>
        <w:rFonts w:ascii="Baskerville Old Face" w:eastAsia="Cambria" w:hAnsi="Baskerville Old Face" w:cs="Cambria"/>
        <w:color w:val="000099"/>
        <w:sz w:val="24"/>
        <w:szCs w:val="24"/>
      </w:rPr>
      <w:t xml:space="preserve"> No. </w:t>
    </w:r>
    <w:r w:rsidR="0084183F">
      <w:rPr>
        <w:rFonts w:ascii="Baskerville Old Face" w:eastAsia="Cambria" w:hAnsi="Baskerville Old Face" w:cs="Cambria"/>
        <w:color w:val="000099"/>
        <w:sz w:val="24"/>
        <w:szCs w:val="24"/>
      </w:rPr>
      <w:t>2</w:t>
    </w:r>
    <w:r w:rsidRPr="007F2A86">
      <w:rPr>
        <w:rFonts w:ascii="Baskerville Old Face" w:eastAsia="Cambria" w:hAnsi="Baskerville Old Face" w:cs="Cambria"/>
        <w:color w:val="000099"/>
        <w:sz w:val="24"/>
        <w:szCs w:val="24"/>
      </w:rPr>
      <w:t xml:space="preserve">, </w:t>
    </w:r>
    <w:r w:rsidR="0084183F">
      <w:rPr>
        <w:rFonts w:ascii="Baskerville Old Face" w:eastAsia="Cambria" w:hAnsi="Baskerville Old Face" w:cs="Cambria"/>
        <w:color w:val="000099"/>
        <w:sz w:val="24"/>
        <w:szCs w:val="24"/>
      </w:rPr>
      <w:t>Juni 2026</w:t>
    </w:r>
    <w:r w:rsidRPr="007F2A86">
      <w:rPr>
        <w:rFonts w:ascii="Baskerville Old Face" w:eastAsia="Cambria" w:hAnsi="Baskerville Old Face" w:cs="Cambria"/>
        <w:color w:val="000099"/>
        <w:sz w:val="24"/>
        <w:szCs w:val="24"/>
      </w:rPr>
      <w:t xml:space="preserve">, pages: </w:t>
    </w:r>
    <w:r w:rsidR="00AE26C9">
      <w:rPr>
        <w:rFonts w:ascii="Baskerville Old Face" w:eastAsia="Cambria" w:hAnsi="Baskerville Old Face" w:cs="Cambria"/>
        <w:color w:val="000099"/>
        <w:sz w:val="24"/>
        <w:szCs w:val="24"/>
      </w:rPr>
      <w:t>680</w:t>
    </w:r>
    <w:r w:rsidRPr="007F2A86">
      <w:rPr>
        <w:rFonts w:ascii="Baskerville Old Face" w:eastAsia="Cambria" w:hAnsi="Baskerville Old Face" w:cs="Cambria"/>
        <w:color w:val="000099"/>
        <w:sz w:val="24"/>
        <w:szCs w:val="24"/>
      </w:rPr>
      <w:t>-</w:t>
    </w:r>
    <w:r w:rsidR="00AE26C9">
      <w:rPr>
        <w:rFonts w:ascii="Baskerville Old Face" w:eastAsia="Cambria" w:hAnsi="Baskerville Old Face" w:cs="Cambria"/>
        <w:color w:val="000099"/>
        <w:sz w:val="24"/>
        <w:szCs w:val="24"/>
      </w:rPr>
      <w:t>697</w:t>
    </w:r>
  </w:p>
  <w:p w14:paraId="791E943A" w14:textId="77777777" w:rsidR="001545D9" w:rsidRPr="00C636FB" w:rsidRDefault="003C495F">
    <w:pPr>
      <w:ind w:left="1418"/>
      <w:rPr>
        <w:rFonts w:ascii="Baskerville Old Face" w:eastAsia="Cambria" w:hAnsi="Baskerville Old Face" w:cs="Cambria"/>
        <w:color w:val="000099"/>
        <w:sz w:val="24"/>
        <w:szCs w:val="24"/>
        <w:lang w:val="pt-BR"/>
      </w:rPr>
    </w:pPr>
    <w:r w:rsidRPr="00C636FB">
      <w:rPr>
        <w:rFonts w:ascii="Baskerville Old Face" w:eastAsia="Cambria" w:hAnsi="Baskerville Old Face" w:cs="Cambria"/>
        <w:color w:val="000099"/>
        <w:sz w:val="24"/>
        <w:szCs w:val="24"/>
        <w:lang w:val="pt-BR"/>
      </w:rPr>
      <w:t>e-ISSN: 2985-6469</w:t>
    </w:r>
  </w:p>
  <w:p w14:paraId="25297400" w14:textId="77777777" w:rsidR="001545D9" w:rsidRPr="00C636FB" w:rsidRDefault="003C495F">
    <w:pPr>
      <w:spacing w:after="240"/>
      <w:ind w:left="1418"/>
      <w:rPr>
        <w:rFonts w:ascii="Cambria" w:eastAsia="Cambria" w:hAnsi="Cambria" w:cs="Cambria"/>
        <w:color w:val="000099"/>
        <w:lang w:val="pt-BR"/>
      </w:rPr>
    </w:pPr>
    <w:r w:rsidRPr="00C636FB">
      <w:rPr>
        <w:rFonts w:ascii="Baskerville Old Face" w:eastAsia="Cambria" w:hAnsi="Baskerville Old Face" w:cs="Cambria"/>
        <w:color w:val="000099"/>
        <w:lang w:val="pt-BR"/>
      </w:rPr>
      <w:t>https://ejournal.45mataram.ac.id/index.php/ijssh</w:t>
    </w:r>
    <w:r>
      <w:rPr>
        <w:noProof/>
      </w:rPr>
      <mc:AlternateContent>
        <mc:Choice Requires="wps">
          <w:drawing>
            <wp:anchor distT="0" distB="0" distL="114300" distR="114300" simplePos="0" relativeHeight="251661312" behindDoc="0" locked="0" layoutInCell="1" hidden="0" allowOverlap="1" wp14:anchorId="604CD88C" wp14:editId="7F1C5683">
              <wp:simplePos x="0" y="0"/>
              <wp:positionH relativeFrom="column">
                <wp:posOffset>-12699</wp:posOffset>
              </wp:positionH>
              <wp:positionV relativeFrom="paragraph">
                <wp:posOffset>241300</wp:posOffset>
              </wp:positionV>
              <wp:extent cx="0" cy="50800"/>
              <wp:effectExtent l="0" t="0" r="0" b="0"/>
              <wp:wrapNone/>
              <wp:docPr id="34" name="Straight Arrow Connector 34"/>
              <wp:cNvGraphicFramePr/>
              <a:graphic xmlns:a="http://schemas.openxmlformats.org/drawingml/2006/main">
                <a:graphicData uri="http://schemas.microsoft.com/office/word/2010/wordprocessingShape">
                  <wps:wsp>
                    <wps:cNvCnPr/>
                    <wps:spPr>
                      <a:xfrm>
                        <a:off x="2354198" y="3780000"/>
                        <a:ext cx="5983605" cy="0"/>
                      </a:xfrm>
                      <a:prstGeom prst="straightConnector1">
                        <a:avLst/>
                      </a:prstGeom>
                      <a:noFill/>
                      <a:ln w="50800" cap="flat" cmpd="thinThick">
                        <a:solidFill>
                          <a:srgbClr val="FFC000"/>
                        </a:solidFill>
                        <a:prstDash val="solid"/>
                        <a:round/>
                        <a:headEnd type="none" w="med" len="med"/>
                        <a:tailEnd type="none" w="med" len="med"/>
                      </a:ln>
                    </wps:spPr>
                    <wps:bodyPr/>
                  </wps:wsp>
                </a:graphicData>
              </a:graphic>
            </wp:anchor>
          </w:drawing>
        </mc:Choice>
        <mc:Fallback>
          <w:pict>
            <v:shape w14:anchorId="3AD8F517" id="Straight Arrow Connector 34" o:spid="_x0000_s1026" type="#_x0000_t32" style="position:absolute;margin-left:-1pt;margin-top:19pt;width:0;height: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" strokecolor="#ffc000" strokeweight="4pt">
              <v:stroke linestyle="thinThi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113C8"/>
    <w:multiLevelType w:val="hybridMultilevel"/>
    <w:tmpl w:val="EDCC6874"/>
    <w:lvl w:ilvl="0" w:tplc="38090011">
      <w:start w:val="1"/>
      <w:numFmt w:val="decimal"/>
      <w:lvlText w:val="%1)"/>
      <w:lvlJc w:val="left"/>
      <w:pPr>
        <w:ind w:left="720" w:hanging="360"/>
      </w:pPr>
      <w:rPr>
        <w:b/>
        <w:bCs/>
        <w:sz w:val="28"/>
        <w:szCs w:val="28"/>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15:restartNumberingAfterBreak="0">
    <w:nsid w:val="0A7E28D4"/>
    <w:multiLevelType w:val="hybridMultilevel"/>
    <w:tmpl w:val="48DC84D0"/>
    <w:lvl w:ilvl="0" w:tplc="04B624A6">
      <w:start w:val="1"/>
      <w:numFmt w:val="decimal"/>
      <w:lvlText w:val="4.2.3.%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2" w15:restartNumberingAfterBreak="0">
    <w:nsid w:val="14820532"/>
    <w:multiLevelType w:val="hybridMultilevel"/>
    <w:tmpl w:val="E5E88824"/>
    <w:lvl w:ilvl="0" w:tplc="CCE2722A">
      <w:start w:val="1"/>
      <w:numFmt w:val="decimal"/>
      <w:lvlText w:val="4.2.%1."/>
      <w:lvlJc w:val="left"/>
      <w:pPr>
        <w:ind w:left="786"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15:restartNumberingAfterBreak="0">
    <w:nsid w:val="16515611"/>
    <w:multiLevelType w:val="hybridMultilevel"/>
    <w:tmpl w:val="97A896AC"/>
    <w:lvl w:ilvl="0" w:tplc="3809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96E40C4"/>
    <w:multiLevelType w:val="hybridMultilevel"/>
    <w:tmpl w:val="F7AE7CF0"/>
    <w:lvl w:ilvl="0" w:tplc="E286EE10">
      <w:start w:val="1"/>
      <w:numFmt w:val="decimal"/>
      <w:lvlText w:val="4.2.1.%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5" w15:restartNumberingAfterBreak="0">
    <w:nsid w:val="1DBE35D3"/>
    <w:multiLevelType w:val="hybridMultilevel"/>
    <w:tmpl w:val="C932FED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1E04F67"/>
    <w:multiLevelType w:val="hybridMultilevel"/>
    <w:tmpl w:val="187C9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834CB"/>
    <w:multiLevelType w:val="hybridMultilevel"/>
    <w:tmpl w:val="3D2E74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5596ECC"/>
    <w:multiLevelType w:val="hybridMultilevel"/>
    <w:tmpl w:val="C3CCF1E4"/>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9" w15:restartNumberingAfterBreak="0">
    <w:nsid w:val="2C8058D3"/>
    <w:multiLevelType w:val="hybridMultilevel"/>
    <w:tmpl w:val="25547754"/>
    <w:lvl w:ilvl="0" w:tplc="F216B4F0">
      <w:start w:val="1"/>
      <w:numFmt w:val="decimal"/>
      <w:lvlText w:val="4.2.%1"/>
      <w:lvlJc w:val="left"/>
      <w:pPr>
        <w:ind w:left="927" w:hanging="360"/>
      </w:pPr>
    </w:lvl>
    <w:lvl w:ilvl="1" w:tplc="38090019">
      <w:start w:val="1"/>
      <w:numFmt w:val="lowerLetter"/>
      <w:lvlText w:val="%2."/>
      <w:lvlJc w:val="left"/>
      <w:pPr>
        <w:ind w:left="1647" w:hanging="360"/>
      </w:pPr>
    </w:lvl>
    <w:lvl w:ilvl="2" w:tplc="3809001B">
      <w:start w:val="1"/>
      <w:numFmt w:val="lowerRoman"/>
      <w:lvlText w:val="%3."/>
      <w:lvlJc w:val="right"/>
      <w:pPr>
        <w:ind w:left="2367" w:hanging="180"/>
      </w:pPr>
    </w:lvl>
    <w:lvl w:ilvl="3" w:tplc="3809000F">
      <w:start w:val="1"/>
      <w:numFmt w:val="decimal"/>
      <w:lvlText w:val="%4."/>
      <w:lvlJc w:val="left"/>
      <w:pPr>
        <w:ind w:left="3087" w:hanging="360"/>
      </w:pPr>
    </w:lvl>
    <w:lvl w:ilvl="4" w:tplc="38090019">
      <w:start w:val="1"/>
      <w:numFmt w:val="lowerLetter"/>
      <w:lvlText w:val="%5."/>
      <w:lvlJc w:val="left"/>
      <w:pPr>
        <w:ind w:left="3807" w:hanging="360"/>
      </w:pPr>
    </w:lvl>
    <w:lvl w:ilvl="5" w:tplc="3809001B">
      <w:start w:val="1"/>
      <w:numFmt w:val="lowerRoman"/>
      <w:lvlText w:val="%6."/>
      <w:lvlJc w:val="right"/>
      <w:pPr>
        <w:ind w:left="4527" w:hanging="180"/>
      </w:pPr>
    </w:lvl>
    <w:lvl w:ilvl="6" w:tplc="3809000F">
      <w:start w:val="1"/>
      <w:numFmt w:val="decimal"/>
      <w:lvlText w:val="%7."/>
      <w:lvlJc w:val="left"/>
      <w:pPr>
        <w:ind w:left="5247" w:hanging="360"/>
      </w:pPr>
    </w:lvl>
    <w:lvl w:ilvl="7" w:tplc="38090019">
      <w:start w:val="1"/>
      <w:numFmt w:val="lowerLetter"/>
      <w:lvlText w:val="%8."/>
      <w:lvlJc w:val="left"/>
      <w:pPr>
        <w:ind w:left="5967" w:hanging="360"/>
      </w:pPr>
    </w:lvl>
    <w:lvl w:ilvl="8" w:tplc="3809001B">
      <w:start w:val="1"/>
      <w:numFmt w:val="lowerRoman"/>
      <w:lvlText w:val="%9."/>
      <w:lvlJc w:val="right"/>
      <w:pPr>
        <w:ind w:left="6687" w:hanging="180"/>
      </w:pPr>
    </w:lvl>
  </w:abstractNum>
  <w:abstractNum w:abstractNumId="10" w15:restartNumberingAfterBreak="0">
    <w:nsid w:val="36D679A2"/>
    <w:multiLevelType w:val="hybridMultilevel"/>
    <w:tmpl w:val="4E265C44"/>
    <w:lvl w:ilvl="0" w:tplc="C37C06C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3CF67874"/>
    <w:multiLevelType w:val="hybridMultilevel"/>
    <w:tmpl w:val="3962CCEA"/>
    <w:lvl w:ilvl="0" w:tplc="05142CE2">
      <w:start w:val="1"/>
      <w:numFmt w:val="decimal"/>
      <w:lvlText w:val="%1."/>
      <w:lvlJc w:val="left"/>
      <w:pPr>
        <w:ind w:left="786" w:hanging="360"/>
      </w:pPr>
    </w:lvl>
    <w:lvl w:ilvl="1" w:tplc="38090019">
      <w:start w:val="1"/>
      <w:numFmt w:val="lowerLetter"/>
      <w:lvlText w:val="%2."/>
      <w:lvlJc w:val="left"/>
      <w:pPr>
        <w:ind w:left="1506" w:hanging="360"/>
      </w:pPr>
    </w:lvl>
    <w:lvl w:ilvl="2" w:tplc="3809001B">
      <w:start w:val="1"/>
      <w:numFmt w:val="lowerRoman"/>
      <w:lvlText w:val="%3."/>
      <w:lvlJc w:val="right"/>
      <w:pPr>
        <w:ind w:left="2226" w:hanging="180"/>
      </w:pPr>
    </w:lvl>
    <w:lvl w:ilvl="3" w:tplc="3809000F">
      <w:start w:val="1"/>
      <w:numFmt w:val="decimal"/>
      <w:lvlText w:val="%4."/>
      <w:lvlJc w:val="left"/>
      <w:pPr>
        <w:ind w:left="2946" w:hanging="360"/>
      </w:pPr>
    </w:lvl>
    <w:lvl w:ilvl="4" w:tplc="38090019">
      <w:start w:val="1"/>
      <w:numFmt w:val="lowerLetter"/>
      <w:lvlText w:val="%5."/>
      <w:lvlJc w:val="left"/>
      <w:pPr>
        <w:ind w:left="3666" w:hanging="360"/>
      </w:pPr>
    </w:lvl>
    <w:lvl w:ilvl="5" w:tplc="3809001B">
      <w:start w:val="1"/>
      <w:numFmt w:val="lowerRoman"/>
      <w:lvlText w:val="%6."/>
      <w:lvlJc w:val="right"/>
      <w:pPr>
        <w:ind w:left="4386" w:hanging="180"/>
      </w:pPr>
    </w:lvl>
    <w:lvl w:ilvl="6" w:tplc="3809000F">
      <w:start w:val="1"/>
      <w:numFmt w:val="decimal"/>
      <w:lvlText w:val="%7."/>
      <w:lvlJc w:val="left"/>
      <w:pPr>
        <w:ind w:left="5106" w:hanging="360"/>
      </w:pPr>
    </w:lvl>
    <w:lvl w:ilvl="7" w:tplc="38090019">
      <w:start w:val="1"/>
      <w:numFmt w:val="lowerLetter"/>
      <w:lvlText w:val="%8."/>
      <w:lvlJc w:val="left"/>
      <w:pPr>
        <w:ind w:left="5826" w:hanging="360"/>
      </w:pPr>
    </w:lvl>
    <w:lvl w:ilvl="8" w:tplc="3809001B">
      <w:start w:val="1"/>
      <w:numFmt w:val="lowerRoman"/>
      <w:lvlText w:val="%9."/>
      <w:lvlJc w:val="right"/>
      <w:pPr>
        <w:ind w:left="6546" w:hanging="180"/>
      </w:pPr>
    </w:lvl>
  </w:abstractNum>
  <w:abstractNum w:abstractNumId="12" w15:restartNumberingAfterBreak="0">
    <w:nsid w:val="451B5580"/>
    <w:multiLevelType w:val="hybridMultilevel"/>
    <w:tmpl w:val="B3E4AB48"/>
    <w:lvl w:ilvl="0" w:tplc="22243086">
      <w:start w:val="3"/>
      <w:numFmt w:val="decimal"/>
      <w:lvlText w:val="4.2.%1."/>
      <w:lvlJc w:val="left"/>
      <w:pPr>
        <w:ind w:left="786"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15:restartNumberingAfterBreak="0">
    <w:nsid w:val="5A646771"/>
    <w:multiLevelType w:val="hybridMultilevel"/>
    <w:tmpl w:val="7A161CC0"/>
    <w:lvl w:ilvl="0" w:tplc="FFFFFFFF">
      <w:start w:val="1"/>
      <w:numFmt w:val="decimal"/>
      <w:lvlText w:val="2.1.%1"/>
      <w:lvlJc w:val="left"/>
      <w:pPr>
        <w:ind w:left="720" w:hanging="360"/>
      </w:pPr>
    </w:lvl>
    <w:lvl w:ilvl="1" w:tplc="B8260840">
      <w:start w:val="1"/>
      <w:numFmt w:val="decimal"/>
      <w:lvlText w:val="3.2.%2"/>
      <w:lvlJc w:val="left"/>
      <w:pPr>
        <w:ind w:left="720" w:hanging="360"/>
      </w:pPr>
    </w:lvl>
    <w:lvl w:ilvl="2" w:tplc="38090011">
      <w:start w:val="1"/>
      <w:numFmt w:val="decimal"/>
      <w:lvlText w:val="%3)"/>
      <w:lvlJc w:val="left"/>
      <w:pPr>
        <w:ind w:left="2340" w:hanging="360"/>
      </w:pPr>
    </w:lvl>
    <w:lvl w:ilvl="3" w:tplc="38090011">
      <w:start w:val="1"/>
      <w:numFmt w:val="decimal"/>
      <w:lvlText w:val="%4)"/>
      <w:lvlJc w:val="left"/>
      <w:pPr>
        <w:ind w:left="2880" w:hanging="360"/>
      </w:pPr>
    </w:lvl>
    <w:lvl w:ilvl="4" w:tplc="D41E1A8C">
      <w:start w:val="1"/>
      <w:numFmt w:val="lowerLetter"/>
      <w:lvlText w:val="%5."/>
      <w:lvlJc w:val="left"/>
      <w:pPr>
        <w:ind w:left="3600" w:hanging="360"/>
      </w:pPr>
    </w:lvl>
    <w:lvl w:ilvl="5" w:tplc="38090011">
      <w:start w:val="1"/>
      <w:numFmt w:val="decimal"/>
      <w:lvlText w:val="%6)"/>
      <w:lvlJc w:val="left"/>
      <w:pPr>
        <w:ind w:left="720" w:hanging="36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5E620D0D"/>
    <w:multiLevelType w:val="multilevel"/>
    <w:tmpl w:val="50009B7E"/>
    <w:lvl w:ilvl="0">
      <w:start w:val="1"/>
      <w:numFmt w:val="lowerLetter"/>
      <w:lvlText w:val="%1."/>
      <w:lvlJc w:val="left"/>
      <w:pPr>
        <w:tabs>
          <w:tab w:val="num" w:pos="862"/>
        </w:tabs>
        <w:ind w:left="862" w:hanging="360"/>
      </w:pPr>
      <w:rPr>
        <w:rFonts w:ascii="Arial" w:eastAsia="Times New Roman" w:hAnsi="Arial" w:cs="Arial"/>
        <w:sz w:val="20"/>
      </w:rPr>
    </w:lvl>
    <w:lvl w:ilvl="1">
      <w:start w:val="1"/>
      <w:numFmt w:val="decimal"/>
      <w:lvlText w:val="%2."/>
      <w:lvlJc w:val="left"/>
      <w:pPr>
        <w:ind w:left="1582" w:hanging="360"/>
      </w:pPr>
    </w:lvl>
    <w:lvl w:ilvl="2">
      <w:start w:val="1"/>
      <w:numFmt w:val="bullet"/>
      <w:lvlText w:val=""/>
      <w:lvlJc w:val="left"/>
      <w:pPr>
        <w:tabs>
          <w:tab w:val="num" w:pos="2302"/>
        </w:tabs>
        <w:ind w:left="2302" w:hanging="360"/>
      </w:pPr>
      <w:rPr>
        <w:rFonts w:ascii="Wingdings" w:hAnsi="Wingdings" w:hint="default"/>
        <w:sz w:val="20"/>
      </w:rPr>
    </w:lvl>
    <w:lvl w:ilvl="3">
      <w:start w:val="1"/>
      <w:numFmt w:val="bullet"/>
      <w:lvlText w:val=""/>
      <w:lvlJc w:val="left"/>
      <w:pPr>
        <w:tabs>
          <w:tab w:val="num" w:pos="3022"/>
        </w:tabs>
        <w:ind w:left="3022" w:hanging="360"/>
      </w:pPr>
      <w:rPr>
        <w:rFonts w:ascii="Wingdings" w:hAnsi="Wingdings" w:hint="default"/>
        <w:sz w:val="20"/>
      </w:rPr>
    </w:lvl>
    <w:lvl w:ilvl="4">
      <w:start w:val="1"/>
      <w:numFmt w:val="bullet"/>
      <w:lvlText w:val=""/>
      <w:lvlJc w:val="left"/>
      <w:pPr>
        <w:tabs>
          <w:tab w:val="num" w:pos="3742"/>
        </w:tabs>
        <w:ind w:left="3742" w:hanging="360"/>
      </w:pPr>
      <w:rPr>
        <w:rFonts w:ascii="Wingdings" w:hAnsi="Wingdings" w:hint="default"/>
        <w:sz w:val="20"/>
      </w:rPr>
    </w:lvl>
    <w:lvl w:ilvl="5">
      <w:start w:val="1"/>
      <w:numFmt w:val="bullet"/>
      <w:lvlText w:val=""/>
      <w:lvlJc w:val="left"/>
      <w:pPr>
        <w:tabs>
          <w:tab w:val="num" w:pos="4462"/>
        </w:tabs>
        <w:ind w:left="4462" w:hanging="360"/>
      </w:pPr>
      <w:rPr>
        <w:rFonts w:ascii="Wingdings" w:hAnsi="Wingdings" w:hint="default"/>
        <w:sz w:val="20"/>
      </w:rPr>
    </w:lvl>
    <w:lvl w:ilvl="6">
      <w:start w:val="1"/>
      <w:numFmt w:val="bullet"/>
      <w:lvlText w:val=""/>
      <w:lvlJc w:val="left"/>
      <w:pPr>
        <w:tabs>
          <w:tab w:val="num" w:pos="5182"/>
        </w:tabs>
        <w:ind w:left="5182" w:hanging="360"/>
      </w:pPr>
      <w:rPr>
        <w:rFonts w:ascii="Wingdings" w:hAnsi="Wingdings" w:hint="default"/>
        <w:sz w:val="20"/>
      </w:rPr>
    </w:lvl>
    <w:lvl w:ilvl="7">
      <w:start w:val="1"/>
      <w:numFmt w:val="bullet"/>
      <w:lvlText w:val=""/>
      <w:lvlJc w:val="left"/>
      <w:pPr>
        <w:tabs>
          <w:tab w:val="num" w:pos="5902"/>
        </w:tabs>
        <w:ind w:left="5902" w:hanging="360"/>
      </w:pPr>
      <w:rPr>
        <w:rFonts w:ascii="Wingdings" w:hAnsi="Wingdings" w:hint="default"/>
        <w:sz w:val="20"/>
      </w:rPr>
    </w:lvl>
    <w:lvl w:ilvl="8">
      <w:start w:val="1"/>
      <w:numFmt w:val="bullet"/>
      <w:lvlText w:val=""/>
      <w:lvlJc w:val="left"/>
      <w:pPr>
        <w:tabs>
          <w:tab w:val="num" w:pos="6622"/>
        </w:tabs>
        <w:ind w:left="6622" w:hanging="360"/>
      </w:pPr>
      <w:rPr>
        <w:rFonts w:ascii="Wingdings" w:hAnsi="Wingdings" w:hint="default"/>
        <w:sz w:val="20"/>
      </w:rPr>
    </w:lvl>
  </w:abstractNum>
  <w:abstractNum w:abstractNumId="15" w15:restartNumberingAfterBreak="0">
    <w:nsid w:val="6842080C"/>
    <w:multiLevelType w:val="hybridMultilevel"/>
    <w:tmpl w:val="0ACEBAF6"/>
    <w:lvl w:ilvl="0" w:tplc="D15A216A">
      <w:start w:val="1"/>
      <w:numFmt w:val="decimal"/>
      <w:lvlText w:val="4.2.2.%1"/>
      <w:lvlJc w:val="left"/>
      <w:pPr>
        <w:ind w:left="1494" w:hanging="360"/>
      </w:pPr>
    </w:lvl>
    <w:lvl w:ilvl="1" w:tplc="38090019">
      <w:start w:val="1"/>
      <w:numFmt w:val="lowerLetter"/>
      <w:lvlText w:val="%2."/>
      <w:lvlJc w:val="left"/>
      <w:pPr>
        <w:ind w:left="2214" w:hanging="360"/>
      </w:pPr>
    </w:lvl>
    <w:lvl w:ilvl="2" w:tplc="3809001B">
      <w:start w:val="1"/>
      <w:numFmt w:val="lowerRoman"/>
      <w:lvlText w:val="%3."/>
      <w:lvlJc w:val="right"/>
      <w:pPr>
        <w:ind w:left="2934" w:hanging="180"/>
      </w:pPr>
    </w:lvl>
    <w:lvl w:ilvl="3" w:tplc="3809000F">
      <w:start w:val="1"/>
      <w:numFmt w:val="decimal"/>
      <w:lvlText w:val="%4."/>
      <w:lvlJc w:val="left"/>
      <w:pPr>
        <w:ind w:left="3654" w:hanging="360"/>
      </w:pPr>
    </w:lvl>
    <w:lvl w:ilvl="4" w:tplc="38090019">
      <w:start w:val="1"/>
      <w:numFmt w:val="lowerLetter"/>
      <w:lvlText w:val="%5."/>
      <w:lvlJc w:val="left"/>
      <w:pPr>
        <w:ind w:left="4374" w:hanging="360"/>
      </w:pPr>
    </w:lvl>
    <w:lvl w:ilvl="5" w:tplc="3809001B">
      <w:start w:val="1"/>
      <w:numFmt w:val="lowerRoman"/>
      <w:lvlText w:val="%6."/>
      <w:lvlJc w:val="right"/>
      <w:pPr>
        <w:ind w:left="5094" w:hanging="180"/>
      </w:pPr>
    </w:lvl>
    <w:lvl w:ilvl="6" w:tplc="3809000F">
      <w:start w:val="1"/>
      <w:numFmt w:val="decimal"/>
      <w:lvlText w:val="%7."/>
      <w:lvlJc w:val="left"/>
      <w:pPr>
        <w:ind w:left="5814" w:hanging="360"/>
      </w:pPr>
    </w:lvl>
    <w:lvl w:ilvl="7" w:tplc="38090019">
      <w:start w:val="1"/>
      <w:numFmt w:val="lowerLetter"/>
      <w:lvlText w:val="%8."/>
      <w:lvlJc w:val="left"/>
      <w:pPr>
        <w:ind w:left="6534" w:hanging="360"/>
      </w:pPr>
    </w:lvl>
    <w:lvl w:ilvl="8" w:tplc="3809001B">
      <w:start w:val="1"/>
      <w:numFmt w:val="lowerRoman"/>
      <w:lvlText w:val="%9."/>
      <w:lvlJc w:val="right"/>
      <w:pPr>
        <w:ind w:left="7254" w:hanging="180"/>
      </w:pPr>
    </w:lvl>
  </w:abstractNum>
  <w:abstractNum w:abstractNumId="16" w15:restartNumberingAfterBreak="0">
    <w:nsid w:val="68986B1B"/>
    <w:multiLevelType w:val="hybridMultilevel"/>
    <w:tmpl w:val="DBB65ADA"/>
    <w:lvl w:ilvl="0" w:tplc="501CB21E">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7" w15:restartNumberingAfterBreak="0">
    <w:nsid w:val="6E435226"/>
    <w:multiLevelType w:val="hybridMultilevel"/>
    <w:tmpl w:val="71FEB900"/>
    <w:lvl w:ilvl="0" w:tplc="3809000F">
      <w:start w:val="1"/>
      <w:numFmt w:val="decimal"/>
      <w:lvlText w:val="%1."/>
      <w:lvlJc w:val="left"/>
      <w:pPr>
        <w:ind w:left="1287" w:hanging="360"/>
      </w:pPr>
    </w:lvl>
    <w:lvl w:ilvl="1" w:tplc="38090019">
      <w:start w:val="1"/>
      <w:numFmt w:val="lowerLetter"/>
      <w:lvlText w:val="%2."/>
      <w:lvlJc w:val="left"/>
      <w:pPr>
        <w:ind w:left="2007" w:hanging="360"/>
      </w:pPr>
    </w:lvl>
    <w:lvl w:ilvl="2" w:tplc="3809001B">
      <w:start w:val="1"/>
      <w:numFmt w:val="lowerRoman"/>
      <w:lvlText w:val="%3."/>
      <w:lvlJc w:val="right"/>
      <w:pPr>
        <w:ind w:left="2727" w:hanging="180"/>
      </w:pPr>
    </w:lvl>
    <w:lvl w:ilvl="3" w:tplc="3809000F">
      <w:start w:val="1"/>
      <w:numFmt w:val="decimal"/>
      <w:lvlText w:val="%4."/>
      <w:lvlJc w:val="left"/>
      <w:pPr>
        <w:ind w:left="3447" w:hanging="360"/>
      </w:pPr>
    </w:lvl>
    <w:lvl w:ilvl="4" w:tplc="38090019">
      <w:start w:val="1"/>
      <w:numFmt w:val="lowerLetter"/>
      <w:lvlText w:val="%5."/>
      <w:lvlJc w:val="left"/>
      <w:pPr>
        <w:ind w:left="4167" w:hanging="360"/>
      </w:pPr>
    </w:lvl>
    <w:lvl w:ilvl="5" w:tplc="3809001B">
      <w:start w:val="1"/>
      <w:numFmt w:val="lowerRoman"/>
      <w:lvlText w:val="%6."/>
      <w:lvlJc w:val="right"/>
      <w:pPr>
        <w:ind w:left="4887" w:hanging="180"/>
      </w:pPr>
    </w:lvl>
    <w:lvl w:ilvl="6" w:tplc="3809000F">
      <w:start w:val="1"/>
      <w:numFmt w:val="decimal"/>
      <w:lvlText w:val="%7."/>
      <w:lvlJc w:val="left"/>
      <w:pPr>
        <w:ind w:left="5607" w:hanging="360"/>
      </w:pPr>
    </w:lvl>
    <w:lvl w:ilvl="7" w:tplc="38090019">
      <w:start w:val="1"/>
      <w:numFmt w:val="lowerLetter"/>
      <w:lvlText w:val="%8."/>
      <w:lvlJc w:val="left"/>
      <w:pPr>
        <w:ind w:left="6327" w:hanging="360"/>
      </w:pPr>
    </w:lvl>
    <w:lvl w:ilvl="8" w:tplc="3809001B">
      <w:start w:val="1"/>
      <w:numFmt w:val="lowerRoman"/>
      <w:lvlText w:val="%9."/>
      <w:lvlJc w:val="right"/>
      <w:pPr>
        <w:ind w:left="7047" w:hanging="180"/>
      </w:pPr>
    </w:lvl>
  </w:abstractNum>
  <w:abstractNum w:abstractNumId="18" w15:restartNumberingAfterBreak="0">
    <w:nsid w:val="7BF25755"/>
    <w:multiLevelType w:val="hybridMultilevel"/>
    <w:tmpl w:val="D8F83CA8"/>
    <w:lvl w:ilvl="0" w:tplc="F1BA04A0">
      <w:start w:val="1"/>
      <w:numFmt w:val="decimal"/>
      <w:lvlText w:val="4.1.%1."/>
      <w:lvlJc w:val="left"/>
      <w:pPr>
        <w:ind w:left="720" w:hanging="360"/>
      </w:pPr>
      <w:rPr>
        <w:b/>
        <w:bCs/>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15:restartNumberingAfterBreak="0">
    <w:nsid w:val="7C7575BC"/>
    <w:multiLevelType w:val="hybridMultilevel"/>
    <w:tmpl w:val="BBB6AFD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7DCC5915"/>
    <w:multiLevelType w:val="multilevel"/>
    <w:tmpl w:val="4CACC9C4"/>
    <w:lvl w:ilvl="0">
      <w:start w:val="1"/>
      <w:numFmt w:val="decimal"/>
      <w:pStyle w:val="yan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73713744">
    <w:abstractNumId w:val="20"/>
  </w:num>
  <w:num w:numId="2" w16cid:durableId="10274906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59532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557455">
    <w:abstractNumId w:val="6"/>
  </w:num>
  <w:num w:numId="5" w16cid:durableId="1352341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722860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747450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34953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39140792">
    <w:abstractNumId w:val="7"/>
  </w:num>
  <w:num w:numId="10" w16cid:durableId="1754204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190680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1276653">
    <w:abstractNumId w:val="0"/>
  </w:num>
  <w:num w:numId="13" w16cid:durableId="170998977">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14" w16cid:durableId="1630546835">
    <w:abstractNumId w:val="13"/>
  </w:num>
  <w:num w:numId="15" w16cid:durableId="1924679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90281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26459588">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5985719">
    <w:abstractNumId w:val="8"/>
  </w:num>
  <w:num w:numId="19" w16cid:durableId="1750493957">
    <w:abstractNumId w:val="5"/>
  </w:num>
  <w:num w:numId="20" w16cid:durableId="1086463277">
    <w:abstractNumId w:val="0"/>
  </w:num>
  <w:num w:numId="21" w16cid:durableId="7399815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46844531">
    <w:abstractNumId w:val="13"/>
  </w:num>
  <w:num w:numId="23" w16cid:durableId="233787159">
    <w:abstractNumId w:val="19"/>
  </w:num>
  <w:num w:numId="24" w16cid:durableId="1136291542">
    <w:abstractNumId w:val="10"/>
  </w:num>
  <w:num w:numId="25" w16cid:durableId="1048801112">
    <w:abstractNumId w:val="16"/>
  </w:num>
  <w:num w:numId="26" w16cid:durableId="248733166">
    <w:abstractNumId w:val="3"/>
  </w:num>
  <w:num w:numId="27" w16cid:durableId="10994509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5D9"/>
    <w:rsid w:val="00022BC6"/>
    <w:rsid w:val="000859AB"/>
    <w:rsid w:val="000F089E"/>
    <w:rsid w:val="001136F3"/>
    <w:rsid w:val="001545D9"/>
    <w:rsid w:val="001D147F"/>
    <w:rsid w:val="002332E3"/>
    <w:rsid w:val="00244A30"/>
    <w:rsid w:val="002B6964"/>
    <w:rsid w:val="002B6A91"/>
    <w:rsid w:val="003148E4"/>
    <w:rsid w:val="003C495F"/>
    <w:rsid w:val="003E4441"/>
    <w:rsid w:val="00507B4E"/>
    <w:rsid w:val="005144C4"/>
    <w:rsid w:val="005227DE"/>
    <w:rsid w:val="00586293"/>
    <w:rsid w:val="0059237B"/>
    <w:rsid w:val="00633A50"/>
    <w:rsid w:val="0069387F"/>
    <w:rsid w:val="006B4A28"/>
    <w:rsid w:val="006C4ACC"/>
    <w:rsid w:val="006F2F60"/>
    <w:rsid w:val="00710F4C"/>
    <w:rsid w:val="007A0CCD"/>
    <w:rsid w:val="007A1EF1"/>
    <w:rsid w:val="007D7CF5"/>
    <w:rsid w:val="007E7A23"/>
    <w:rsid w:val="007F2A86"/>
    <w:rsid w:val="00815BD0"/>
    <w:rsid w:val="0083398B"/>
    <w:rsid w:val="0084183F"/>
    <w:rsid w:val="008C48A5"/>
    <w:rsid w:val="008D31F3"/>
    <w:rsid w:val="00931879"/>
    <w:rsid w:val="00974F3B"/>
    <w:rsid w:val="009C5A12"/>
    <w:rsid w:val="00A85AD6"/>
    <w:rsid w:val="00AD616F"/>
    <w:rsid w:val="00AE26C9"/>
    <w:rsid w:val="00B04DEA"/>
    <w:rsid w:val="00B47AAF"/>
    <w:rsid w:val="00B50B3E"/>
    <w:rsid w:val="00C636FB"/>
    <w:rsid w:val="00C71FE3"/>
    <w:rsid w:val="00C87EC4"/>
    <w:rsid w:val="00CE70B1"/>
    <w:rsid w:val="00D10F08"/>
    <w:rsid w:val="00D20F53"/>
    <w:rsid w:val="00D47213"/>
    <w:rsid w:val="00DC6E2B"/>
    <w:rsid w:val="00E170B8"/>
    <w:rsid w:val="00E754A3"/>
    <w:rsid w:val="00EC52A2"/>
    <w:rsid w:val="00EE2963"/>
    <w:rsid w:val="00F07181"/>
    <w:rsid w:val="00F2120D"/>
    <w:rsid w:val="00F232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CBA5E"/>
  <w15:docId w15:val="{8BF738B1-57E7-4EB8-ABC8-3358A331C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eastAsia="pl-PL"/>
    </w:rPr>
  </w:style>
  <w:style w:type="paragraph" w:styleId="Heading9">
    <w:name w:val="heading 9"/>
    <w:basedOn w:val="Normal"/>
    <w:next w:val="Normal"/>
    <w:qFormat/>
    <w:rsid w:val="00097958"/>
    <w:pPr>
      <w:keepNext/>
      <w:ind w:right="-4041"/>
      <w:outlineLvl w:val="8"/>
    </w:pPr>
    <w:rPr>
      <w:b/>
      <w:bCs/>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 w:eastAsia="en-US" w:bidi="ar-SA"/>
    </w:rPr>
  </w:style>
  <w:style w:type="paragraph" w:customStyle="1" w:styleId="paperbody">
    <w:name w:val="paper body"/>
    <w:basedOn w:val="Normal"/>
    <w:rsid w:val="00097958"/>
    <w:pPr>
      <w:jc w:val="both"/>
    </w:pPr>
    <w:rPr>
      <w:sz w:val="24"/>
      <w:szCs w:val="24"/>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720"/>
      </w:tabs>
      <w:spacing w:after="40" w:line="180" w:lineRule="exact"/>
      <w:ind w:left="720" w:hanging="72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paragraph" w:styleId="DocumentMap">
    <w:name w:val="Document Map"/>
    <w:basedOn w:val="Normal"/>
    <w:link w:val="DocumentMapChar"/>
    <w:uiPriority w:val="99"/>
    <w:semiHidden/>
    <w:unhideWhenUsed/>
    <w:rsid w:val="007C7016"/>
    <w:rPr>
      <w:rFonts w:ascii="Tahoma" w:hAnsi="Tahoma" w:cs="Tahoma"/>
      <w:sz w:val="16"/>
      <w:szCs w:val="16"/>
    </w:rPr>
  </w:style>
  <w:style w:type="character" w:customStyle="1" w:styleId="DocumentMapChar">
    <w:name w:val="Document Map Char"/>
    <w:basedOn w:val="DefaultParagraphFont"/>
    <w:link w:val="DocumentMap"/>
    <w:uiPriority w:val="99"/>
    <w:semiHidden/>
    <w:rsid w:val="007C7016"/>
    <w:rPr>
      <w:rFonts w:ascii="Tahoma" w:hAnsi="Tahoma" w:cs="Tahoma"/>
      <w:sz w:val="16"/>
      <w:szCs w:val="16"/>
    </w:rPr>
  </w:style>
  <w:style w:type="paragraph" w:styleId="EndnoteText">
    <w:name w:val="endnote text"/>
    <w:basedOn w:val="Normal"/>
    <w:link w:val="EndnoteTextChar"/>
    <w:uiPriority w:val="99"/>
    <w:semiHidden/>
    <w:unhideWhenUsed/>
    <w:rsid w:val="00B716EC"/>
  </w:style>
  <w:style w:type="character" w:customStyle="1" w:styleId="EndnoteTextChar">
    <w:name w:val="Endnote Text Char"/>
    <w:basedOn w:val="DefaultParagraphFont"/>
    <w:link w:val="EndnoteText"/>
    <w:uiPriority w:val="99"/>
    <w:semiHidden/>
    <w:rsid w:val="00B716EC"/>
  </w:style>
  <w:style w:type="character" w:styleId="EndnoteReference">
    <w:name w:val="endnote reference"/>
    <w:basedOn w:val="DefaultParagraphFont"/>
    <w:uiPriority w:val="99"/>
    <w:semiHidden/>
    <w:unhideWhenUsed/>
    <w:rsid w:val="00B716EC"/>
    <w:rPr>
      <w:vertAlign w:val="superscript"/>
    </w:rPr>
  </w:style>
  <w:style w:type="character" w:customStyle="1" w:styleId="FooterChar">
    <w:name w:val="Footer Char"/>
    <w:basedOn w:val="DefaultParagraphFont"/>
    <w:link w:val="Footer"/>
    <w:uiPriority w:val="99"/>
    <w:rsid w:val="00FF3FFC"/>
  </w:style>
  <w:style w:type="character" w:styleId="CommentReference">
    <w:name w:val="annotation reference"/>
    <w:basedOn w:val="DefaultParagraphFont"/>
    <w:uiPriority w:val="99"/>
    <w:semiHidden/>
    <w:unhideWhenUsed/>
    <w:rsid w:val="00D862F0"/>
    <w:rPr>
      <w:sz w:val="16"/>
      <w:szCs w:val="16"/>
    </w:rPr>
  </w:style>
  <w:style w:type="paragraph" w:styleId="CommentText">
    <w:name w:val="annotation text"/>
    <w:basedOn w:val="Normal"/>
    <w:link w:val="CommentTextChar"/>
    <w:uiPriority w:val="99"/>
    <w:unhideWhenUsed/>
    <w:rsid w:val="00D862F0"/>
  </w:style>
  <w:style w:type="character" w:customStyle="1" w:styleId="CommentTextChar">
    <w:name w:val="Comment Text Char"/>
    <w:basedOn w:val="DefaultParagraphFont"/>
    <w:link w:val="CommentText"/>
    <w:uiPriority w:val="99"/>
    <w:rsid w:val="00D862F0"/>
  </w:style>
  <w:style w:type="character" w:customStyle="1" w:styleId="FootnoteTextChar">
    <w:name w:val="Footnote Text Char"/>
    <w:basedOn w:val="DefaultParagraphFont"/>
    <w:link w:val="FootnoteText"/>
    <w:semiHidden/>
    <w:rsid w:val="00006142"/>
    <w:rPr>
      <w:rFonts w:cs="Traditional Arabic"/>
      <w:lang w:val="en" w:eastAsia="ko-KR"/>
    </w:rPr>
  </w:style>
  <w:style w:type="paragraph" w:customStyle="1" w:styleId="TitleColumnHeading">
    <w:name w:val="Title Column Heading"/>
    <w:basedOn w:val="Normal"/>
    <w:rsid w:val="00425F0C"/>
    <w:pPr>
      <w:tabs>
        <w:tab w:val="right" w:pos="8640"/>
      </w:tabs>
      <w:spacing w:line="480" w:lineRule="auto"/>
      <w:jc w:val="center"/>
    </w:pPr>
    <w:rPr>
      <w:sz w:val="24"/>
    </w:rPr>
  </w:style>
  <w:style w:type="paragraph" w:customStyle="1" w:styleId="TableBody">
    <w:name w:val="Table Body"/>
    <w:basedOn w:val="Normal"/>
    <w:rsid w:val="00425F0C"/>
    <w:pPr>
      <w:tabs>
        <w:tab w:val="right" w:pos="8640"/>
      </w:tabs>
      <w:spacing w:line="480" w:lineRule="auto"/>
      <w:jc w:val="center"/>
    </w:pPr>
    <w:rPr>
      <w:color w:val="000000"/>
      <w:sz w:val="24"/>
      <w:szCs w:val="24"/>
    </w:rPr>
  </w:style>
  <w:style w:type="character" w:customStyle="1" w:styleId="FigureCaptionLabelChar">
    <w:name w:val="Figure Caption Label Char"/>
    <w:rsid w:val="00425F0C"/>
    <w:rPr>
      <w:rFonts w:ascii="Garamond" w:hAnsi="Garamond"/>
      <w:i/>
      <w:sz w:val="24"/>
      <w:szCs w:val="24"/>
      <w:lang w:val="en" w:eastAsia="en-US" w:bidi="ar-SA"/>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customStyle="1" w:styleId="UnresolvedMention1">
    <w:name w:val="Unresolved Mention1"/>
    <w:basedOn w:val="DefaultParagraphFont"/>
    <w:uiPriority w:val="99"/>
    <w:semiHidden/>
    <w:unhideWhenUsed/>
    <w:rsid w:val="000F089E"/>
    <w:rPr>
      <w:color w:val="605E5C"/>
      <w:shd w:val="clear" w:color="auto" w:fill="E1DFDD"/>
    </w:rPr>
  </w:style>
  <w:style w:type="character" w:styleId="UnresolvedMention">
    <w:name w:val="Unresolved Mention"/>
    <w:basedOn w:val="DefaultParagraphFont"/>
    <w:uiPriority w:val="99"/>
    <w:semiHidden/>
    <w:unhideWhenUsed/>
    <w:rsid w:val="00C636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8303">
      <w:bodyDiv w:val="1"/>
      <w:marLeft w:val="0"/>
      <w:marRight w:val="0"/>
      <w:marTop w:val="0"/>
      <w:marBottom w:val="0"/>
      <w:divBdr>
        <w:top w:val="none" w:sz="0" w:space="0" w:color="auto"/>
        <w:left w:val="none" w:sz="0" w:space="0" w:color="auto"/>
        <w:bottom w:val="none" w:sz="0" w:space="0" w:color="auto"/>
        <w:right w:val="none" w:sz="0" w:space="0" w:color="auto"/>
      </w:divBdr>
    </w:div>
    <w:div w:id="154802948">
      <w:bodyDiv w:val="1"/>
      <w:marLeft w:val="0"/>
      <w:marRight w:val="0"/>
      <w:marTop w:val="0"/>
      <w:marBottom w:val="0"/>
      <w:divBdr>
        <w:top w:val="none" w:sz="0" w:space="0" w:color="auto"/>
        <w:left w:val="none" w:sz="0" w:space="0" w:color="auto"/>
        <w:bottom w:val="none" w:sz="0" w:space="0" w:color="auto"/>
        <w:right w:val="none" w:sz="0" w:space="0" w:color="auto"/>
      </w:divBdr>
    </w:div>
    <w:div w:id="271590767">
      <w:bodyDiv w:val="1"/>
      <w:marLeft w:val="0"/>
      <w:marRight w:val="0"/>
      <w:marTop w:val="0"/>
      <w:marBottom w:val="0"/>
      <w:divBdr>
        <w:top w:val="none" w:sz="0" w:space="0" w:color="auto"/>
        <w:left w:val="none" w:sz="0" w:space="0" w:color="auto"/>
        <w:bottom w:val="none" w:sz="0" w:space="0" w:color="auto"/>
        <w:right w:val="none" w:sz="0" w:space="0" w:color="auto"/>
      </w:divBdr>
    </w:div>
    <w:div w:id="300113549">
      <w:bodyDiv w:val="1"/>
      <w:marLeft w:val="0"/>
      <w:marRight w:val="0"/>
      <w:marTop w:val="0"/>
      <w:marBottom w:val="0"/>
      <w:divBdr>
        <w:top w:val="none" w:sz="0" w:space="0" w:color="auto"/>
        <w:left w:val="none" w:sz="0" w:space="0" w:color="auto"/>
        <w:bottom w:val="none" w:sz="0" w:space="0" w:color="auto"/>
        <w:right w:val="none" w:sz="0" w:space="0" w:color="auto"/>
      </w:divBdr>
    </w:div>
    <w:div w:id="484665898">
      <w:bodyDiv w:val="1"/>
      <w:marLeft w:val="0"/>
      <w:marRight w:val="0"/>
      <w:marTop w:val="0"/>
      <w:marBottom w:val="0"/>
      <w:divBdr>
        <w:top w:val="none" w:sz="0" w:space="0" w:color="auto"/>
        <w:left w:val="none" w:sz="0" w:space="0" w:color="auto"/>
        <w:bottom w:val="none" w:sz="0" w:space="0" w:color="auto"/>
        <w:right w:val="none" w:sz="0" w:space="0" w:color="auto"/>
      </w:divBdr>
    </w:div>
    <w:div w:id="510529631">
      <w:bodyDiv w:val="1"/>
      <w:marLeft w:val="0"/>
      <w:marRight w:val="0"/>
      <w:marTop w:val="0"/>
      <w:marBottom w:val="0"/>
      <w:divBdr>
        <w:top w:val="none" w:sz="0" w:space="0" w:color="auto"/>
        <w:left w:val="none" w:sz="0" w:space="0" w:color="auto"/>
        <w:bottom w:val="none" w:sz="0" w:space="0" w:color="auto"/>
        <w:right w:val="none" w:sz="0" w:space="0" w:color="auto"/>
      </w:divBdr>
    </w:div>
    <w:div w:id="575474513">
      <w:bodyDiv w:val="1"/>
      <w:marLeft w:val="0"/>
      <w:marRight w:val="0"/>
      <w:marTop w:val="0"/>
      <w:marBottom w:val="0"/>
      <w:divBdr>
        <w:top w:val="none" w:sz="0" w:space="0" w:color="auto"/>
        <w:left w:val="none" w:sz="0" w:space="0" w:color="auto"/>
        <w:bottom w:val="none" w:sz="0" w:space="0" w:color="auto"/>
        <w:right w:val="none" w:sz="0" w:space="0" w:color="auto"/>
      </w:divBdr>
    </w:div>
    <w:div w:id="645547113">
      <w:bodyDiv w:val="1"/>
      <w:marLeft w:val="0"/>
      <w:marRight w:val="0"/>
      <w:marTop w:val="0"/>
      <w:marBottom w:val="0"/>
      <w:divBdr>
        <w:top w:val="none" w:sz="0" w:space="0" w:color="auto"/>
        <w:left w:val="none" w:sz="0" w:space="0" w:color="auto"/>
        <w:bottom w:val="none" w:sz="0" w:space="0" w:color="auto"/>
        <w:right w:val="none" w:sz="0" w:space="0" w:color="auto"/>
      </w:divBdr>
    </w:div>
    <w:div w:id="728110949">
      <w:bodyDiv w:val="1"/>
      <w:marLeft w:val="0"/>
      <w:marRight w:val="0"/>
      <w:marTop w:val="0"/>
      <w:marBottom w:val="0"/>
      <w:divBdr>
        <w:top w:val="none" w:sz="0" w:space="0" w:color="auto"/>
        <w:left w:val="none" w:sz="0" w:space="0" w:color="auto"/>
        <w:bottom w:val="none" w:sz="0" w:space="0" w:color="auto"/>
        <w:right w:val="none" w:sz="0" w:space="0" w:color="auto"/>
      </w:divBdr>
    </w:div>
    <w:div w:id="740493498">
      <w:bodyDiv w:val="1"/>
      <w:marLeft w:val="0"/>
      <w:marRight w:val="0"/>
      <w:marTop w:val="0"/>
      <w:marBottom w:val="0"/>
      <w:divBdr>
        <w:top w:val="none" w:sz="0" w:space="0" w:color="auto"/>
        <w:left w:val="none" w:sz="0" w:space="0" w:color="auto"/>
        <w:bottom w:val="none" w:sz="0" w:space="0" w:color="auto"/>
        <w:right w:val="none" w:sz="0" w:space="0" w:color="auto"/>
      </w:divBdr>
    </w:div>
    <w:div w:id="800420939">
      <w:bodyDiv w:val="1"/>
      <w:marLeft w:val="0"/>
      <w:marRight w:val="0"/>
      <w:marTop w:val="0"/>
      <w:marBottom w:val="0"/>
      <w:divBdr>
        <w:top w:val="none" w:sz="0" w:space="0" w:color="auto"/>
        <w:left w:val="none" w:sz="0" w:space="0" w:color="auto"/>
        <w:bottom w:val="none" w:sz="0" w:space="0" w:color="auto"/>
        <w:right w:val="none" w:sz="0" w:space="0" w:color="auto"/>
      </w:divBdr>
    </w:div>
    <w:div w:id="838160807">
      <w:bodyDiv w:val="1"/>
      <w:marLeft w:val="0"/>
      <w:marRight w:val="0"/>
      <w:marTop w:val="0"/>
      <w:marBottom w:val="0"/>
      <w:divBdr>
        <w:top w:val="none" w:sz="0" w:space="0" w:color="auto"/>
        <w:left w:val="none" w:sz="0" w:space="0" w:color="auto"/>
        <w:bottom w:val="none" w:sz="0" w:space="0" w:color="auto"/>
        <w:right w:val="none" w:sz="0" w:space="0" w:color="auto"/>
      </w:divBdr>
    </w:div>
    <w:div w:id="915239382">
      <w:bodyDiv w:val="1"/>
      <w:marLeft w:val="0"/>
      <w:marRight w:val="0"/>
      <w:marTop w:val="0"/>
      <w:marBottom w:val="0"/>
      <w:divBdr>
        <w:top w:val="none" w:sz="0" w:space="0" w:color="auto"/>
        <w:left w:val="none" w:sz="0" w:space="0" w:color="auto"/>
        <w:bottom w:val="none" w:sz="0" w:space="0" w:color="auto"/>
        <w:right w:val="none" w:sz="0" w:space="0" w:color="auto"/>
      </w:divBdr>
    </w:div>
    <w:div w:id="1018430025">
      <w:bodyDiv w:val="1"/>
      <w:marLeft w:val="0"/>
      <w:marRight w:val="0"/>
      <w:marTop w:val="0"/>
      <w:marBottom w:val="0"/>
      <w:divBdr>
        <w:top w:val="none" w:sz="0" w:space="0" w:color="auto"/>
        <w:left w:val="none" w:sz="0" w:space="0" w:color="auto"/>
        <w:bottom w:val="none" w:sz="0" w:space="0" w:color="auto"/>
        <w:right w:val="none" w:sz="0" w:space="0" w:color="auto"/>
      </w:divBdr>
    </w:div>
    <w:div w:id="1044254383">
      <w:bodyDiv w:val="1"/>
      <w:marLeft w:val="0"/>
      <w:marRight w:val="0"/>
      <w:marTop w:val="0"/>
      <w:marBottom w:val="0"/>
      <w:divBdr>
        <w:top w:val="none" w:sz="0" w:space="0" w:color="auto"/>
        <w:left w:val="none" w:sz="0" w:space="0" w:color="auto"/>
        <w:bottom w:val="none" w:sz="0" w:space="0" w:color="auto"/>
        <w:right w:val="none" w:sz="0" w:space="0" w:color="auto"/>
      </w:divBdr>
    </w:div>
    <w:div w:id="1050808624">
      <w:bodyDiv w:val="1"/>
      <w:marLeft w:val="0"/>
      <w:marRight w:val="0"/>
      <w:marTop w:val="0"/>
      <w:marBottom w:val="0"/>
      <w:divBdr>
        <w:top w:val="none" w:sz="0" w:space="0" w:color="auto"/>
        <w:left w:val="none" w:sz="0" w:space="0" w:color="auto"/>
        <w:bottom w:val="none" w:sz="0" w:space="0" w:color="auto"/>
        <w:right w:val="none" w:sz="0" w:space="0" w:color="auto"/>
      </w:divBdr>
    </w:div>
    <w:div w:id="1117532004">
      <w:bodyDiv w:val="1"/>
      <w:marLeft w:val="0"/>
      <w:marRight w:val="0"/>
      <w:marTop w:val="0"/>
      <w:marBottom w:val="0"/>
      <w:divBdr>
        <w:top w:val="none" w:sz="0" w:space="0" w:color="auto"/>
        <w:left w:val="none" w:sz="0" w:space="0" w:color="auto"/>
        <w:bottom w:val="none" w:sz="0" w:space="0" w:color="auto"/>
        <w:right w:val="none" w:sz="0" w:space="0" w:color="auto"/>
      </w:divBdr>
    </w:div>
    <w:div w:id="1148398012">
      <w:bodyDiv w:val="1"/>
      <w:marLeft w:val="0"/>
      <w:marRight w:val="0"/>
      <w:marTop w:val="0"/>
      <w:marBottom w:val="0"/>
      <w:divBdr>
        <w:top w:val="none" w:sz="0" w:space="0" w:color="auto"/>
        <w:left w:val="none" w:sz="0" w:space="0" w:color="auto"/>
        <w:bottom w:val="none" w:sz="0" w:space="0" w:color="auto"/>
        <w:right w:val="none" w:sz="0" w:space="0" w:color="auto"/>
      </w:divBdr>
    </w:div>
    <w:div w:id="1164517318">
      <w:bodyDiv w:val="1"/>
      <w:marLeft w:val="0"/>
      <w:marRight w:val="0"/>
      <w:marTop w:val="0"/>
      <w:marBottom w:val="0"/>
      <w:divBdr>
        <w:top w:val="none" w:sz="0" w:space="0" w:color="auto"/>
        <w:left w:val="none" w:sz="0" w:space="0" w:color="auto"/>
        <w:bottom w:val="none" w:sz="0" w:space="0" w:color="auto"/>
        <w:right w:val="none" w:sz="0" w:space="0" w:color="auto"/>
      </w:divBdr>
    </w:div>
    <w:div w:id="1179810139">
      <w:bodyDiv w:val="1"/>
      <w:marLeft w:val="0"/>
      <w:marRight w:val="0"/>
      <w:marTop w:val="0"/>
      <w:marBottom w:val="0"/>
      <w:divBdr>
        <w:top w:val="none" w:sz="0" w:space="0" w:color="auto"/>
        <w:left w:val="none" w:sz="0" w:space="0" w:color="auto"/>
        <w:bottom w:val="none" w:sz="0" w:space="0" w:color="auto"/>
        <w:right w:val="none" w:sz="0" w:space="0" w:color="auto"/>
      </w:divBdr>
    </w:div>
    <w:div w:id="1253926641">
      <w:bodyDiv w:val="1"/>
      <w:marLeft w:val="0"/>
      <w:marRight w:val="0"/>
      <w:marTop w:val="0"/>
      <w:marBottom w:val="0"/>
      <w:divBdr>
        <w:top w:val="none" w:sz="0" w:space="0" w:color="auto"/>
        <w:left w:val="none" w:sz="0" w:space="0" w:color="auto"/>
        <w:bottom w:val="none" w:sz="0" w:space="0" w:color="auto"/>
        <w:right w:val="none" w:sz="0" w:space="0" w:color="auto"/>
      </w:divBdr>
    </w:div>
    <w:div w:id="1254975157">
      <w:bodyDiv w:val="1"/>
      <w:marLeft w:val="0"/>
      <w:marRight w:val="0"/>
      <w:marTop w:val="0"/>
      <w:marBottom w:val="0"/>
      <w:divBdr>
        <w:top w:val="none" w:sz="0" w:space="0" w:color="auto"/>
        <w:left w:val="none" w:sz="0" w:space="0" w:color="auto"/>
        <w:bottom w:val="none" w:sz="0" w:space="0" w:color="auto"/>
        <w:right w:val="none" w:sz="0" w:space="0" w:color="auto"/>
      </w:divBdr>
    </w:div>
    <w:div w:id="1308509218">
      <w:bodyDiv w:val="1"/>
      <w:marLeft w:val="0"/>
      <w:marRight w:val="0"/>
      <w:marTop w:val="0"/>
      <w:marBottom w:val="0"/>
      <w:divBdr>
        <w:top w:val="none" w:sz="0" w:space="0" w:color="auto"/>
        <w:left w:val="none" w:sz="0" w:space="0" w:color="auto"/>
        <w:bottom w:val="none" w:sz="0" w:space="0" w:color="auto"/>
        <w:right w:val="none" w:sz="0" w:space="0" w:color="auto"/>
      </w:divBdr>
    </w:div>
    <w:div w:id="1311327505">
      <w:bodyDiv w:val="1"/>
      <w:marLeft w:val="0"/>
      <w:marRight w:val="0"/>
      <w:marTop w:val="0"/>
      <w:marBottom w:val="0"/>
      <w:divBdr>
        <w:top w:val="none" w:sz="0" w:space="0" w:color="auto"/>
        <w:left w:val="none" w:sz="0" w:space="0" w:color="auto"/>
        <w:bottom w:val="none" w:sz="0" w:space="0" w:color="auto"/>
        <w:right w:val="none" w:sz="0" w:space="0" w:color="auto"/>
      </w:divBdr>
    </w:div>
    <w:div w:id="1317997269">
      <w:bodyDiv w:val="1"/>
      <w:marLeft w:val="0"/>
      <w:marRight w:val="0"/>
      <w:marTop w:val="0"/>
      <w:marBottom w:val="0"/>
      <w:divBdr>
        <w:top w:val="none" w:sz="0" w:space="0" w:color="auto"/>
        <w:left w:val="none" w:sz="0" w:space="0" w:color="auto"/>
        <w:bottom w:val="none" w:sz="0" w:space="0" w:color="auto"/>
        <w:right w:val="none" w:sz="0" w:space="0" w:color="auto"/>
      </w:divBdr>
    </w:div>
    <w:div w:id="1345013330">
      <w:bodyDiv w:val="1"/>
      <w:marLeft w:val="0"/>
      <w:marRight w:val="0"/>
      <w:marTop w:val="0"/>
      <w:marBottom w:val="0"/>
      <w:divBdr>
        <w:top w:val="none" w:sz="0" w:space="0" w:color="auto"/>
        <w:left w:val="none" w:sz="0" w:space="0" w:color="auto"/>
        <w:bottom w:val="none" w:sz="0" w:space="0" w:color="auto"/>
        <w:right w:val="none" w:sz="0" w:space="0" w:color="auto"/>
      </w:divBdr>
    </w:div>
    <w:div w:id="1357078577">
      <w:bodyDiv w:val="1"/>
      <w:marLeft w:val="0"/>
      <w:marRight w:val="0"/>
      <w:marTop w:val="0"/>
      <w:marBottom w:val="0"/>
      <w:divBdr>
        <w:top w:val="none" w:sz="0" w:space="0" w:color="auto"/>
        <w:left w:val="none" w:sz="0" w:space="0" w:color="auto"/>
        <w:bottom w:val="none" w:sz="0" w:space="0" w:color="auto"/>
        <w:right w:val="none" w:sz="0" w:space="0" w:color="auto"/>
      </w:divBdr>
    </w:div>
    <w:div w:id="1449351615">
      <w:bodyDiv w:val="1"/>
      <w:marLeft w:val="0"/>
      <w:marRight w:val="0"/>
      <w:marTop w:val="0"/>
      <w:marBottom w:val="0"/>
      <w:divBdr>
        <w:top w:val="none" w:sz="0" w:space="0" w:color="auto"/>
        <w:left w:val="none" w:sz="0" w:space="0" w:color="auto"/>
        <w:bottom w:val="none" w:sz="0" w:space="0" w:color="auto"/>
        <w:right w:val="none" w:sz="0" w:space="0" w:color="auto"/>
      </w:divBdr>
    </w:div>
    <w:div w:id="1467430485">
      <w:bodyDiv w:val="1"/>
      <w:marLeft w:val="0"/>
      <w:marRight w:val="0"/>
      <w:marTop w:val="0"/>
      <w:marBottom w:val="0"/>
      <w:divBdr>
        <w:top w:val="none" w:sz="0" w:space="0" w:color="auto"/>
        <w:left w:val="none" w:sz="0" w:space="0" w:color="auto"/>
        <w:bottom w:val="none" w:sz="0" w:space="0" w:color="auto"/>
        <w:right w:val="none" w:sz="0" w:space="0" w:color="auto"/>
      </w:divBdr>
    </w:div>
    <w:div w:id="1468627195">
      <w:bodyDiv w:val="1"/>
      <w:marLeft w:val="0"/>
      <w:marRight w:val="0"/>
      <w:marTop w:val="0"/>
      <w:marBottom w:val="0"/>
      <w:divBdr>
        <w:top w:val="none" w:sz="0" w:space="0" w:color="auto"/>
        <w:left w:val="none" w:sz="0" w:space="0" w:color="auto"/>
        <w:bottom w:val="none" w:sz="0" w:space="0" w:color="auto"/>
        <w:right w:val="none" w:sz="0" w:space="0" w:color="auto"/>
      </w:divBdr>
    </w:div>
    <w:div w:id="1521238451">
      <w:bodyDiv w:val="1"/>
      <w:marLeft w:val="0"/>
      <w:marRight w:val="0"/>
      <w:marTop w:val="0"/>
      <w:marBottom w:val="0"/>
      <w:divBdr>
        <w:top w:val="none" w:sz="0" w:space="0" w:color="auto"/>
        <w:left w:val="none" w:sz="0" w:space="0" w:color="auto"/>
        <w:bottom w:val="none" w:sz="0" w:space="0" w:color="auto"/>
        <w:right w:val="none" w:sz="0" w:space="0" w:color="auto"/>
      </w:divBdr>
    </w:div>
    <w:div w:id="1536430740">
      <w:bodyDiv w:val="1"/>
      <w:marLeft w:val="0"/>
      <w:marRight w:val="0"/>
      <w:marTop w:val="0"/>
      <w:marBottom w:val="0"/>
      <w:divBdr>
        <w:top w:val="none" w:sz="0" w:space="0" w:color="auto"/>
        <w:left w:val="none" w:sz="0" w:space="0" w:color="auto"/>
        <w:bottom w:val="none" w:sz="0" w:space="0" w:color="auto"/>
        <w:right w:val="none" w:sz="0" w:space="0" w:color="auto"/>
      </w:divBdr>
    </w:div>
    <w:div w:id="1621913130">
      <w:bodyDiv w:val="1"/>
      <w:marLeft w:val="0"/>
      <w:marRight w:val="0"/>
      <w:marTop w:val="0"/>
      <w:marBottom w:val="0"/>
      <w:divBdr>
        <w:top w:val="none" w:sz="0" w:space="0" w:color="auto"/>
        <w:left w:val="none" w:sz="0" w:space="0" w:color="auto"/>
        <w:bottom w:val="none" w:sz="0" w:space="0" w:color="auto"/>
        <w:right w:val="none" w:sz="0" w:space="0" w:color="auto"/>
      </w:divBdr>
    </w:div>
    <w:div w:id="1776898167">
      <w:bodyDiv w:val="1"/>
      <w:marLeft w:val="0"/>
      <w:marRight w:val="0"/>
      <w:marTop w:val="0"/>
      <w:marBottom w:val="0"/>
      <w:divBdr>
        <w:top w:val="none" w:sz="0" w:space="0" w:color="auto"/>
        <w:left w:val="none" w:sz="0" w:space="0" w:color="auto"/>
        <w:bottom w:val="none" w:sz="0" w:space="0" w:color="auto"/>
        <w:right w:val="none" w:sz="0" w:space="0" w:color="auto"/>
      </w:divBdr>
    </w:div>
    <w:div w:id="1811359190">
      <w:bodyDiv w:val="1"/>
      <w:marLeft w:val="0"/>
      <w:marRight w:val="0"/>
      <w:marTop w:val="0"/>
      <w:marBottom w:val="0"/>
      <w:divBdr>
        <w:top w:val="none" w:sz="0" w:space="0" w:color="auto"/>
        <w:left w:val="none" w:sz="0" w:space="0" w:color="auto"/>
        <w:bottom w:val="none" w:sz="0" w:space="0" w:color="auto"/>
        <w:right w:val="none" w:sz="0" w:space="0" w:color="auto"/>
      </w:divBdr>
    </w:div>
    <w:div w:id="1843162957">
      <w:bodyDiv w:val="1"/>
      <w:marLeft w:val="0"/>
      <w:marRight w:val="0"/>
      <w:marTop w:val="0"/>
      <w:marBottom w:val="0"/>
      <w:divBdr>
        <w:top w:val="none" w:sz="0" w:space="0" w:color="auto"/>
        <w:left w:val="none" w:sz="0" w:space="0" w:color="auto"/>
        <w:bottom w:val="none" w:sz="0" w:space="0" w:color="auto"/>
        <w:right w:val="none" w:sz="0" w:space="0" w:color="auto"/>
      </w:divBdr>
    </w:div>
    <w:div w:id="1886405980">
      <w:bodyDiv w:val="1"/>
      <w:marLeft w:val="0"/>
      <w:marRight w:val="0"/>
      <w:marTop w:val="0"/>
      <w:marBottom w:val="0"/>
      <w:divBdr>
        <w:top w:val="none" w:sz="0" w:space="0" w:color="auto"/>
        <w:left w:val="none" w:sz="0" w:space="0" w:color="auto"/>
        <w:bottom w:val="none" w:sz="0" w:space="0" w:color="auto"/>
        <w:right w:val="none" w:sz="0" w:space="0" w:color="auto"/>
      </w:divBdr>
    </w:div>
    <w:div w:id="1904637439">
      <w:bodyDiv w:val="1"/>
      <w:marLeft w:val="0"/>
      <w:marRight w:val="0"/>
      <w:marTop w:val="0"/>
      <w:marBottom w:val="0"/>
      <w:divBdr>
        <w:top w:val="none" w:sz="0" w:space="0" w:color="auto"/>
        <w:left w:val="none" w:sz="0" w:space="0" w:color="auto"/>
        <w:bottom w:val="none" w:sz="0" w:space="0" w:color="auto"/>
        <w:right w:val="none" w:sz="0" w:space="0" w:color="auto"/>
      </w:divBdr>
    </w:div>
    <w:div w:id="1952006704">
      <w:bodyDiv w:val="1"/>
      <w:marLeft w:val="0"/>
      <w:marRight w:val="0"/>
      <w:marTop w:val="0"/>
      <w:marBottom w:val="0"/>
      <w:divBdr>
        <w:top w:val="none" w:sz="0" w:space="0" w:color="auto"/>
        <w:left w:val="none" w:sz="0" w:space="0" w:color="auto"/>
        <w:bottom w:val="none" w:sz="0" w:space="0" w:color="auto"/>
        <w:right w:val="none" w:sz="0" w:space="0" w:color="auto"/>
      </w:divBdr>
    </w:div>
    <w:div w:id="1953707692">
      <w:bodyDiv w:val="1"/>
      <w:marLeft w:val="0"/>
      <w:marRight w:val="0"/>
      <w:marTop w:val="0"/>
      <w:marBottom w:val="0"/>
      <w:divBdr>
        <w:top w:val="none" w:sz="0" w:space="0" w:color="auto"/>
        <w:left w:val="none" w:sz="0" w:space="0" w:color="auto"/>
        <w:bottom w:val="none" w:sz="0" w:space="0" w:color="auto"/>
        <w:right w:val="none" w:sz="0" w:space="0" w:color="auto"/>
      </w:divBdr>
    </w:div>
    <w:div w:id="1985815980">
      <w:bodyDiv w:val="1"/>
      <w:marLeft w:val="0"/>
      <w:marRight w:val="0"/>
      <w:marTop w:val="0"/>
      <w:marBottom w:val="0"/>
      <w:divBdr>
        <w:top w:val="none" w:sz="0" w:space="0" w:color="auto"/>
        <w:left w:val="none" w:sz="0" w:space="0" w:color="auto"/>
        <w:bottom w:val="none" w:sz="0" w:space="0" w:color="auto"/>
        <w:right w:val="none" w:sz="0" w:space="0" w:color="auto"/>
      </w:divBdr>
    </w:div>
    <w:div w:id="2001038324">
      <w:bodyDiv w:val="1"/>
      <w:marLeft w:val="0"/>
      <w:marRight w:val="0"/>
      <w:marTop w:val="0"/>
      <w:marBottom w:val="0"/>
      <w:divBdr>
        <w:top w:val="none" w:sz="0" w:space="0" w:color="auto"/>
        <w:left w:val="none" w:sz="0" w:space="0" w:color="auto"/>
        <w:bottom w:val="none" w:sz="0" w:space="0" w:color="auto"/>
        <w:right w:val="none" w:sz="0" w:space="0" w:color="auto"/>
      </w:divBdr>
    </w:div>
    <w:div w:id="2039043855">
      <w:bodyDiv w:val="1"/>
      <w:marLeft w:val="0"/>
      <w:marRight w:val="0"/>
      <w:marTop w:val="0"/>
      <w:marBottom w:val="0"/>
      <w:divBdr>
        <w:top w:val="none" w:sz="0" w:space="0" w:color="auto"/>
        <w:left w:val="none" w:sz="0" w:space="0" w:color="auto"/>
        <w:bottom w:val="none" w:sz="0" w:space="0" w:color="auto"/>
        <w:right w:val="none" w:sz="0" w:space="0" w:color="auto"/>
      </w:divBdr>
    </w:div>
    <w:div w:id="21085047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nc-nd/4.0/"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4khrihart0no@gmail.com" TargetMode="External"/><Relationship Id="rId14" Type="http://schemas.openxmlformats.org/officeDocument/2006/relationships/image" Target="media/image4.png"/><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VHjfAcHLjOhnDMq/wGWPxB/1MTQ==">AMUW2mX5REqOPcSngKXHLSYAXmX+MC5kz2YtyGZ09EXsp9yQHXi8DyQP6o0igTk4E/xLgOULU29nLm4rUYUceosHM+mSFTKZc8QR2yGyAVJwr4gl2fz/IXodBHcj0OWXUxGkKRUm1EzZcod3E895fWm7+vpEzl3Au3uuEEnA+Wizczt0//F5YbA=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E24F87-8E11-45F2-B05B-2F1F8DED2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18</Pages>
  <Words>11115</Words>
  <Characters>63357</Characters>
  <Application>Microsoft Office Word</Application>
  <DocSecurity>0</DocSecurity>
  <Lines>527</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cairo</dc:creator>
  <cp:lastModifiedBy>haeruddinazhari@gmail.com</cp:lastModifiedBy>
  <cp:revision>7</cp:revision>
  <dcterms:created xsi:type="dcterms:W3CDTF">2026-06-13T09:39:00Z</dcterms:created>
  <dcterms:modified xsi:type="dcterms:W3CDTF">2026-06-27T02:47:00Z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2b11ce63-9dc0-4a81-9e6e-b087efefdd1f</vt:lpwstr>
  </property>
</Properties>
</file>