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9C78B6" w:rsidRPr="006212FA" w14:paraId="4F56E37E" w14:textId="77777777" w:rsidTr="001669CC">
        <w:trPr>
          <w:trHeight w:val="1584"/>
        </w:trPr>
        <w:tc>
          <w:tcPr>
            <w:tcW w:w="9356" w:type="dxa"/>
          </w:tcPr>
          <w:p w14:paraId="72CC6076" w14:textId="77777777" w:rsidR="00006142" w:rsidRPr="006212FA" w:rsidRDefault="00006142" w:rsidP="002E32D4">
            <w:pPr>
              <w:autoSpaceDE w:val="0"/>
              <w:autoSpaceDN w:val="0"/>
              <w:adjustRightInd w:val="0"/>
              <w:ind w:left="-108" w:right="-91"/>
              <w:jc w:val="center"/>
              <w:rPr>
                <w:rFonts w:asciiTheme="majorHAnsi" w:hAnsiTheme="majorHAnsi" w:cs="Courier New"/>
                <w:b/>
                <w:sz w:val="10"/>
                <w:szCs w:val="10"/>
              </w:rPr>
            </w:pPr>
          </w:p>
          <w:p w14:paraId="1CCC3DBC" w14:textId="3AEEFEB1" w:rsidR="00B7173D" w:rsidRPr="004B15EE" w:rsidRDefault="004B15EE" w:rsidP="004B15EE">
            <w:pPr>
              <w:jc w:val="center"/>
              <w:rPr>
                <w:rFonts w:ascii="Cambria" w:hAnsi="Cambria"/>
                <w:b/>
                <w:bCs/>
                <w:sz w:val="32"/>
                <w:szCs w:val="32"/>
              </w:rPr>
            </w:pPr>
            <w:r w:rsidRPr="004B15EE">
              <w:rPr>
                <w:rFonts w:ascii="Cambria" w:hAnsi="Cambria"/>
                <w:b/>
                <w:bCs/>
                <w:sz w:val="32"/>
                <w:szCs w:val="32"/>
              </w:rPr>
              <w:t>The Jurisdiction of the Corruption Eradication Commission and Military Police in Addressing Corruption in Military Procurement</w:t>
            </w:r>
          </w:p>
          <w:p w14:paraId="29107114" w14:textId="77777777" w:rsidR="00891C38" w:rsidRPr="00C03343" w:rsidRDefault="00891C38" w:rsidP="00B7173D">
            <w:pPr>
              <w:outlineLvl w:val="0"/>
              <w:rPr>
                <w:bCs/>
                <w:sz w:val="24"/>
                <w:szCs w:val="24"/>
              </w:rPr>
            </w:pPr>
          </w:p>
          <w:p w14:paraId="76CEE6A0" w14:textId="2642E800" w:rsidR="00891C38" w:rsidRPr="004B15EE" w:rsidRDefault="004B15EE" w:rsidP="00B7173D">
            <w:pPr>
              <w:ind w:left="210" w:right="-108" w:hanging="142"/>
              <w:jc w:val="center"/>
              <w:outlineLvl w:val="0"/>
              <w:rPr>
                <w:bCs/>
                <w:sz w:val="24"/>
                <w:szCs w:val="24"/>
              </w:rPr>
            </w:pPr>
            <w:r w:rsidRPr="004B15EE">
              <w:rPr>
                <w:rFonts w:asciiTheme="majorHAnsi" w:hAnsiTheme="majorHAnsi"/>
                <w:b/>
                <w:sz w:val="24"/>
                <w:szCs w:val="24"/>
              </w:rPr>
              <w:t>Zainudin Syah Pahlavi</w:t>
            </w:r>
            <w:r w:rsidR="00C84B39" w:rsidRPr="00CA69D1">
              <w:rPr>
                <w:rFonts w:asciiTheme="majorHAnsi" w:eastAsia="Cambria" w:hAnsiTheme="majorHAnsi" w:cs="Cambria"/>
                <w:b/>
                <w:color w:val="FFC000"/>
                <w:sz w:val="24"/>
                <w:szCs w:val="24"/>
                <w:vertAlign w:val="superscript"/>
              </w:rPr>
              <w:footnoteReference w:id="1"/>
            </w:r>
            <w:r w:rsidR="00CA69D1">
              <w:rPr>
                <w:rFonts w:ascii="Cambria" w:eastAsia="Cambria" w:hAnsi="Cambria" w:cs="Cambria"/>
                <w:b/>
                <w:sz w:val="24"/>
                <w:szCs w:val="24"/>
              </w:rPr>
              <w:t>*</w:t>
            </w:r>
            <w:r w:rsidR="00C84B39" w:rsidRPr="00CA69D1">
              <w:rPr>
                <w:rFonts w:asciiTheme="majorHAnsi" w:eastAsia="Cambria" w:hAnsiTheme="majorHAnsi" w:cs="Cambria"/>
                <w:sz w:val="24"/>
                <w:szCs w:val="24"/>
              </w:rPr>
              <w:t xml:space="preserve">, </w:t>
            </w:r>
            <w:r w:rsidRPr="004B15EE">
              <w:rPr>
                <w:rFonts w:asciiTheme="majorHAnsi" w:hAnsiTheme="majorHAnsi"/>
                <w:b/>
                <w:bCs/>
                <w:sz w:val="24"/>
                <w:szCs w:val="24"/>
              </w:rPr>
              <w:t>Erny Herlin Setyorini</w:t>
            </w:r>
            <w:r w:rsidR="00C84B39" w:rsidRPr="004B15EE">
              <w:rPr>
                <w:rFonts w:asciiTheme="majorHAnsi" w:eastAsia="Cambria" w:hAnsiTheme="majorHAnsi" w:cs="Cambria"/>
                <w:b/>
                <w:color w:val="FFC000"/>
                <w:sz w:val="24"/>
                <w:szCs w:val="24"/>
                <w:vertAlign w:val="superscript"/>
              </w:rPr>
              <w:footnoteReference w:id="2"/>
            </w:r>
          </w:p>
          <w:p w14:paraId="173B0C63" w14:textId="53FF99B1" w:rsidR="00895A6E" w:rsidRPr="00895A6E" w:rsidRDefault="00666386" w:rsidP="00895A6E">
            <w:pPr>
              <w:spacing w:before="120" w:after="120"/>
              <w:ind w:right="-108"/>
              <w:jc w:val="center"/>
              <w:rPr>
                <w:rFonts w:asciiTheme="majorHAnsi" w:hAnsiTheme="majorHAnsi" w:cs="Noto Sans"/>
                <w:i/>
                <w:iCs/>
                <w:shd w:val="clear" w:color="auto" w:fill="FFFFFF"/>
              </w:rPr>
            </w:pPr>
            <w:r w:rsidRPr="00666386">
              <w:rPr>
                <w:rFonts w:asciiTheme="majorHAnsi" w:hAnsiTheme="majorHAnsi"/>
                <w:i/>
              </w:rPr>
              <w:t>*Corresponding author email:</w:t>
            </w:r>
            <w:r>
              <w:rPr>
                <w:rFonts w:asciiTheme="majorHAnsi" w:hAnsiTheme="majorHAnsi"/>
                <w:i/>
              </w:rPr>
              <w:t xml:space="preserve"> </w:t>
            </w:r>
            <w:r w:rsidR="003C1009">
              <w:rPr>
                <w:rFonts w:asciiTheme="majorHAnsi" w:hAnsiTheme="majorHAnsi" w:cs="Noto Sans"/>
                <w:i/>
                <w:iCs/>
                <w:shd w:val="clear" w:color="auto" w:fill="FFFFFF"/>
              </w:rPr>
              <w:t>zainudinsp</w:t>
            </w:r>
            <w:r w:rsidR="009F6AC4" w:rsidRPr="009F6AC4">
              <w:rPr>
                <w:rFonts w:asciiTheme="majorHAnsi" w:hAnsiTheme="majorHAnsi" w:cs="Noto Sans"/>
                <w:i/>
                <w:iCs/>
                <w:shd w:val="clear" w:color="auto" w:fill="FFFFFF"/>
              </w:rPr>
              <w:t>@gmail.com</w:t>
            </w:r>
          </w:p>
        </w:tc>
      </w:tr>
    </w:tbl>
    <w:p w14:paraId="53623516" w14:textId="77777777" w:rsidR="00CD31B1" w:rsidRPr="006212FA" w:rsidRDefault="00CD31B1" w:rsidP="002E32D4">
      <w:pPr>
        <w:ind w:left="-108" w:right="-91"/>
        <w:rPr>
          <w:rFonts w:asciiTheme="majorHAnsi" w:hAnsiTheme="majorHAnsi"/>
          <w:sz w:val="4"/>
          <w:szCs w:val="4"/>
        </w:rPr>
      </w:pPr>
    </w:p>
    <w:tbl>
      <w:tblPr>
        <w:tblStyle w:val="TableGrid"/>
        <w:tblW w:w="9356" w:type="dxa"/>
        <w:tblLook w:val="04A0" w:firstRow="1" w:lastRow="0" w:firstColumn="1" w:lastColumn="0" w:noHBand="0" w:noVBand="1"/>
      </w:tblPr>
      <w:tblGrid>
        <w:gridCol w:w="2246"/>
        <w:gridCol w:w="280"/>
        <w:gridCol w:w="6830"/>
      </w:tblGrid>
      <w:tr w:rsidR="009C78B6" w:rsidRPr="006212FA" w14:paraId="6ABE4ECA" w14:textId="77777777" w:rsidTr="001669CC">
        <w:trPr>
          <w:trHeight w:val="323"/>
        </w:trPr>
        <w:tc>
          <w:tcPr>
            <w:tcW w:w="2246" w:type="dxa"/>
            <w:tcBorders>
              <w:top w:val="double" w:sz="4" w:space="0" w:color="auto"/>
              <w:left w:val="nil"/>
              <w:bottom w:val="single" w:sz="4" w:space="0" w:color="auto"/>
              <w:right w:val="nil"/>
            </w:tcBorders>
          </w:tcPr>
          <w:p w14:paraId="799B5E70" w14:textId="77777777" w:rsidR="00CD31B1" w:rsidRPr="006212FA" w:rsidRDefault="001D4B4F" w:rsidP="001D4B4F">
            <w:pPr>
              <w:spacing w:before="120" w:after="120"/>
              <w:ind w:left="-108"/>
              <w:rPr>
                <w:rFonts w:asciiTheme="majorHAnsi" w:hAnsiTheme="majorHAnsi"/>
                <w:b/>
              </w:rPr>
            </w:pPr>
            <w:r>
              <w:rPr>
                <w:rFonts w:asciiTheme="majorHAnsi" w:hAnsiTheme="majorHAnsi"/>
                <w:b/>
                <w:i/>
                <w:sz w:val="19"/>
                <w:szCs w:val="19"/>
              </w:rPr>
              <w:t>Article History</w:t>
            </w:r>
          </w:p>
        </w:tc>
        <w:tc>
          <w:tcPr>
            <w:tcW w:w="280" w:type="dxa"/>
            <w:tcBorders>
              <w:top w:val="double" w:sz="4" w:space="0" w:color="auto"/>
              <w:left w:val="nil"/>
              <w:bottom w:val="nil"/>
              <w:right w:val="nil"/>
            </w:tcBorders>
          </w:tcPr>
          <w:p w14:paraId="5882D989" w14:textId="77777777" w:rsidR="00CD31B1" w:rsidRPr="006212FA" w:rsidRDefault="00CD31B1" w:rsidP="00343597">
            <w:pPr>
              <w:spacing w:before="120"/>
              <w:jc w:val="center"/>
              <w:rPr>
                <w:rFonts w:asciiTheme="majorHAnsi" w:hAnsiTheme="majorHAnsi"/>
              </w:rPr>
            </w:pPr>
          </w:p>
        </w:tc>
        <w:tc>
          <w:tcPr>
            <w:tcW w:w="6830" w:type="dxa"/>
            <w:tcBorders>
              <w:top w:val="double" w:sz="4" w:space="0" w:color="auto"/>
              <w:left w:val="nil"/>
              <w:bottom w:val="single" w:sz="4" w:space="0" w:color="auto"/>
              <w:right w:val="nil"/>
            </w:tcBorders>
          </w:tcPr>
          <w:p w14:paraId="2EE03782" w14:textId="77777777" w:rsidR="00CD31B1" w:rsidRPr="006212FA" w:rsidRDefault="00CD31B1" w:rsidP="00297B35">
            <w:pPr>
              <w:spacing w:before="120"/>
              <w:ind w:left="-107"/>
              <w:rPr>
                <w:rFonts w:asciiTheme="majorHAnsi" w:hAnsiTheme="majorHAnsi"/>
              </w:rPr>
            </w:pPr>
            <w:bookmarkStart w:id="0" w:name="Abstract"/>
            <w:r w:rsidRPr="006212FA">
              <w:rPr>
                <w:rFonts w:asciiTheme="majorHAnsi" w:hAnsiTheme="majorHAnsi"/>
                <w:b/>
                <w:bCs/>
                <w:iCs/>
              </w:rPr>
              <w:t>Abstract</w:t>
            </w:r>
            <w:bookmarkEnd w:id="0"/>
          </w:p>
        </w:tc>
      </w:tr>
      <w:tr w:rsidR="004B15EE" w:rsidRPr="006212FA" w14:paraId="2D1D2A4B" w14:textId="77777777" w:rsidTr="001669CC">
        <w:trPr>
          <w:trHeight w:val="911"/>
        </w:trPr>
        <w:tc>
          <w:tcPr>
            <w:tcW w:w="2246" w:type="dxa"/>
            <w:tcBorders>
              <w:top w:val="single" w:sz="4" w:space="0" w:color="auto"/>
              <w:left w:val="nil"/>
              <w:bottom w:val="single" w:sz="4" w:space="0" w:color="auto"/>
              <w:right w:val="nil"/>
            </w:tcBorders>
          </w:tcPr>
          <w:p w14:paraId="21E1900C" w14:textId="77777777" w:rsidR="004B15EE" w:rsidRPr="00C1431F" w:rsidRDefault="004B15EE" w:rsidP="004B15EE">
            <w:pPr>
              <w:spacing w:before="120"/>
              <w:ind w:left="-108"/>
              <w:rPr>
                <w:rFonts w:asciiTheme="majorHAnsi" w:hAnsiTheme="majorHAnsi"/>
                <w:bCs/>
                <w:i/>
                <w:sz w:val="18"/>
                <w:szCs w:val="16"/>
              </w:rPr>
            </w:pPr>
            <w:r w:rsidRPr="00C1431F">
              <w:rPr>
                <w:rFonts w:asciiTheme="majorHAnsi" w:hAnsiTheme="majorHAnsi"/>
                <w:bCs/>
                <w:i/>
                <w:sz w:val="18"/>
                <w:szCs w:val="16"/>
              </w:rPr>
              <w:t>Manuscript submitted:</w:t>
            </w:r>
          </w:p>
          <w:p w14:paraId="2F703ED7" w14:textId="77777777" w:rsidR="004B15EE" w:rsidRPr="00C1431F" w:rsidRDefault="004B15EE" w:rsidP="004B15EE">
            <w:pPr>
              <w:ind w:left="-108"/>
              <w:rPr>
                <w:rFonts w:asciiTheme="majorHAnsi" w:hAnsiTheme="majorHAnsi" w:cs="Courier New"/>
                <w:b/>
                <w:i/>
                <w:sz w:val="18"/>
                <w:szCs w:val="16"/>
              </w:rPr>
            </w:pPr>
            <w:r>
              <w:rPr>
                <w:rFonts w:asciiTheme="majorHAnsi" w:hAnsiTheme="majorHAnsi"/>
                <w:b/>
                <w:bCs/>
                <w:i/>
                <w:sz w:val="18"/>
                <w:szCs w:val="16"/>
              </w:rPr>
              <w:t>15</w:t>
            </w:r>
            <w:r w:rsidRPr="00C1431F">
              <w:rPr>
                <w:rFonts w:asciiTheme="majorHAnsi" w:hAnsiTheme="majorHAnsi"/>
                <w:b/>
                <w:bCs/>
                <w:i/>
                <w:sz w:val="18"/>
                <w:szCs w:val="16"/>
              </w:rPr>
              <w:t xml:space="preserve"> </w:t>
            </w:r>
            <w:r>
              <w:rPr>
                <w:rFonts w:asciiTheme="majorHAnsi" w:hAnsiTheme="majorHAnsi"/>
                <w:b/>
                <w:bCs/>
                <w:i/>
                <w:sz w:val="18"/>
                <w:szCs w:val="16"/>
              </w:rPr>
              <w:t>Oktober</w:t>
            </w:r>
            <w:r w:rsidRPr="00C1431F">
              <w:rPr>
                <w:rFonts w:asciiTheme="majorHAnsi" w:hAnsiTheme="majorHAnsi"/>
                <w:b/>
                <w:bCs/>
                <w:i/>
                <w:sz w:val="18"/>
                <w:szCs w:val="16"/>
              </w:rPr>
              <w:t xml:space="preserve"> 2024</w:t>
            </w:r>
          </w:p>
          <w:p w14:paraId="2C63C07D" w14:textId="77777777" w:rsidR="004B15EE" w:rsidRPr="00C1431F" w:rsidRDefault="004B15EE" w:rsidP="004B15EE">
            <w:pPr>
              <w:ind w:left="-108"/>
              <w:rPr>
                <w:rFonts w:asciiTheme="majorHAnsi" w:hAnsiTheme="majorHAnsi" w:cs="Courier New"/>
                <w:i/>
                <w:sz w:val="18"/>
                <w:szCs w:val="16"/>
              </w:rPr>
            </w:pPr>
            <w:r w:rsidRPr="00C1431F">
              <w:rPr>
                <w:rFonts w:asciiTheme="majorHAnsi" w:hAnsiTheme="majorHAnsi" w:cs="Courier New"/>
                <w:i/>
                <w:sz w:val="18"/>
                <w:szCs w:val="16"/>
              </w:rPr>
              <w:t>Manuscript revised:</w:t>
            </w:r>
          </w:p>
          <w:p w14:paraId="09DC364F" w14:textId="2D334819" w:rsidR="004B15EE" w:rsidRPr="00C1431F" w:rsidRDefault="004B15EE" w:rsidP="004B15EE">
            <w:pPr>
              <w:ind w:left="-108"/>
              <w:rPr>
                <w:rFonts w:asciiTheme="majorHAnsi" w:hAnsiTheme="majorHAnsi" w:cs="Courier New"/>
                <w:b/>
                <w:i/>
                <w:sz w:val="18"/>
                <w:szCs w:val="16"/>
              </w:rPr>
            </w:pPr>
            <w:r>
              <w:rPr>
                <w:rFonts w:asciiTheme="majorHAnsi" w:hAnsiTheme="majorHAnsi"/>
                <w:b/>
                <w:bCs/>
                <w:i/>
                <w:sz w:val="18"/>
                <w:szCs w:val="16"/>
              </w:rPr>
              <w:t>20</w:t>
            </w:r>
            <w:r w:rsidRPr="00C1431F">
              <w:rPr>
                <w:rFonts w:asciiTheme="majorHAnsi" w:hAnsiTheme="majorHAnsi"/>
                <w:b/>
                <w:bCs/>
                <w:i/>
                <w:sz w:val="18"/>
                <w:szCs w:val="16"/>
              </w:rPr>
              <w:t xml:space="preserve"> </w:t>
            </w:r>
            <w:r>
              <w:rPr>
                <w:rFonts w:asciiTheme="majorHAnsi" w:hAnsiTheme="majorHAnsi"/>
                <w:b/>
                <w:bCs/>
                <w:i/>
                <w:sz w:val="18"/>
                <w:szCs w:val="16"/>
              </w:rPr>
              <w:t>Oktober</w:t>
            </w:r>
            <w:r w:rsidRPr="00C1431F">
              <w:rPr>
                <w:rFonts w:asciiTheme="majorHAnsi" w:hAnsiTheme="majorHAnsi"/>
                <w:b/>
                <w:bCs/>
                <w:i/>
                <w:sz w:val="18"/>
                <w:szCs w:val="16"/>
              </w:rPr>
              <w:t xml:space="preserve"> 2024</w:t>
            </w:r>
          </w:p>
          <w:p w14:paraId="601C1F55" w14:textId="77777777" w:rsidR="004B15EE" w:rsidRPr="00C1431F" w:rsidRDefault="004B15EE" w:rsidP="004B15EE">
            <w:pPr>
              <w:ind w:hanging="108"/>
              <w:rPr>
                <w:rFonts w:asciiTheme="majorHAnsi" w:hAnsiTheme="majorHAnsi"/>
                <w:sz w:val="22"/>
              </w:rPr>
            </w:pPr>
            <w:r w:rsidRPr="00C1431F">
              <w:rPr>
                <w:rFonts w:asciiTheme="majorHAnsi" w:hAnsiTheme="majorHAnsi" w:cs="Courier New"/>
                <w:i/>
                <w:sz w:val="18"/>
                <w:szCs w:val="16"/>
              </w:rPr>
              <w:t>Accepted for publication:</w:t>
            </w:r>
          </w:p>
          <w:p w14:paraId="31EAE748" w14:textId="7633466C" w:rsidR="004B15EE" w:rsidRPr="00C1431F" w:rsidRDefault="004B15EE" w:rsidP="004B15EE">
            <w:pPr>
              <w:ind w:left="-108"/>
              <w:rPr>
                <w:rFonts w:asciiTheme="majorHAnsi" w:hAnsiTheme="majorHAnsi" w:cs="Courier New"/>
                <w:b/>
                <w:i/>
                <w:sz w:val="18"/>
                <w:szCs w:val="16"/>
              </w:rPr>
            </w:pPr>
            <w:r w:rsidRPr="00C1431F">
              <w:rPr>
                <w:rFonts w:asciiTheme="majorHAnsi" w:hAnsiTheme="majorHAnsi"/>
                <w:b/>
                <w:bCs/>
                <w:i/>
                <w:sz w:val="18"/>
                <w:szCs w:val="16"/>
              </w:rPr>
              <w:t>2</w:t>
            </w:r>
            <w:r>
              <w:rPr>
                <w:rFonts w:asciiTheme="majorHAnsi" w:hAnsiTheme="majorHAnsi"/>
                <w:b/>
                <w:bCs/>
                <w:i/>
                <w:sz w:val="18"/>
                <w:szCs w:val="16"/>
              </w:rPr>
              <w:t>8</w:t>
            </w:r>
            <w:r w:rsidRPr="00C1431F">
              <w:rPr>
                <w:rFonts w:asciiTheme="majorHAnsi" w:hAnsiTheme="majorHAnsi"/>
                <w:b/>
                <w:bCs/>
                <w:i/>
                <w:sz w:val="18"/>
                <w:szCs w:val="16"/>
              </w:rPr>
              <w:t xml:space="preserve"> </w:t>
            </w:r>
            <w:r>
              <w:rPr>
                <w:rFonts w:asciiTheme="majorHAnsi" w:hAnsiTheme="majorHAnsi"/>
                <w:b/>
                <w:bCs/>
                <w:i/>
                <w:sz w:val="18"/>
                <w:szCs w:val="16"/>
              </w:rPr>
              <w:t xml:space="preserve">Oktober </w:t>
            </w:r>
            <w:r w:rsidRPr="00C1431F">
              <w:rPr>
                <w:rFonts w:asciiTheme="majorHAnsi" w:hAnsiTheme="majorHAnsi"/>
                <w:b/>
                <w:bCs/>
                <w:i/>
                <w:sz w:val="18"/>
                <w:szCs w:val="16"/>
              </w:rPr>
              <w:t>2024</w:t>
            </w:r>
          </w:p>
          <w:p w14:paraId="1BB7821C" w14:textId="77777777" w:rsidR="004B15EE" w:rsidRPr="006212FA" w:rsidRDefault="004B15EE" w:rsidP="004B15EE">
            <w:pPr>
              <w:ind w:left="-68"/>
              <w:rPr>
                <w:rFonts w:asciiTheme="majorHAnsi" w:hAnsiTheme="majorHAnsi"/>
              </w:rPr>
            </w:pPr>
          </w:p>
          <w:p w14:paraId="6A07348D" w14:textId="77777777" w:rsidR="004B15EE" w:rsidRPr="006212FA" w:rsidRDefault="004B15EE" w:rsidP="004B15EE">
            <w:pPr>
              <w:ind w:left="-68"/>
              <w:rPr>
                <w:rFonts w:asciiTheme="majorHAnsi" w:hAnsiTheme="majorHAnsi"/>
              </w:rPr>
            </w:pPr>
          </w:p>
          <w:p w14:paraId="3177F0E5" w14:textId="77777777" w:rsidR="004B15EE" w:rsidRPr="006212FA" w:rsidRDefault="004B15EE" w:rsidP="004B15EE">
            <w:pPr>
              <w:ind w:left="-68"/>
              <w:rPr>
                <w:rFonts w:asciiTheme="majorHAnsi" w:hAnsiTheme="majorHAnsi"/>
              </w:rPr>
            </w:pPr>
          </w:p>
          <w:p w14:paraId="61615BB4" w14:textId="77777777" w:rsidR="004B15EE" w:rsidRPr="006212FA" w:rsidRDefault="004B15EE" w:rsidP="004B15EE">
            <w:pPr>
              <w:ind w:left="-68"/>
              <w:rPr>
                <w:rFonts w:asciiTheme="majorHAnsi" w:hAnsiTheme="majorHAnsi"/>
              </w:rPr>
            </w:pPr>
          </w:p>
          <w:p w14:paraId="6F07F269" w14:textId="77777777" w:rsidR="004B15EE" w:rsidRPr="006212FA" w:rsidRDefault="004B15EE" w:rsidP="004B15EE">
            <w:pPr>
              <w:ind w:left="-68"/>
              <w:rPr>
                <w:rFonts w:asciiTheme="majorHAnsi" w:hAnsiTheme="majorHAnsi"/>
              </w:rPr>
            </w:pPr>
          </w:p>
        </w:tc>
        <w:tc>
          <w:tcPr>
            <w:tcW w:w="280" w:type="dxa"/>
            <w:vMerge w:val="restart"/>
            <w:tcBorders>
              <w:top w:val="nil"/>
              <w:left w:val="nil"/>
              <w:bottom w:val="nil"/>
              <w:right w:val="nil"/>
            </w:tcBorders>
          </w:tcPr>
          <w:p w14:paraId="1EEBA72C" w14:textId="77777777" w:rsidR="004B15EE" w:rsidRPr="006212FA" w:rsidRDefault="004B15EE" w:rsidP="004B15EE">
            <w:pPr>
              <w:spacing w:before="120"/>
              <w:jc w:val="both"/>
              <w:rPr>
                <w:rFonts w:asciiTheme="majorHAnsi" w:hAnsiTheme="majorHAnsi"/>
              </w:rPr>
            </w:pPr>
          </w:p>
        </w:tc>
        <w:tc>
          <w:tcPr>
            <w:tcW w:w="6830" w:type="dxa"/>
            <w:vMerge w:val="restart"/>
            <w:tcBorders>
              <w:top w:val="single" w:sz="4" w:space="0" w:color="auto"/>
              <w:left w:val="nil"/>
              <w:bottom w:val="nil"/>
              <w:right w:val="nil"/>
            </w:tcBorders>
          </w:tcPr>
          <w:p w14:paraId="517914BB" w14:textId="0026DA1E" w:rsidR="004B15EE" w:rsidRPr="00CA69D1" w:rsidRDefault="004B15EE" w:rsidP="004B15EE">
            <w:pPr>
              <w:spacing w:before="120"/>
              <w:ind w:right="-108"/>
              <w:jc w:val="both"/>
              <w:rPr>
                <w:rFonts w:ascii="Cambria" w:hAnsi="Cambria"/>
              </w:rPr>
            </w:pPr>
            <w:r w:rsidRPr="00403F75">
              <w:rPr>
                <w:rFonts w:asciiTheme="majorHAnsi" w:eastAsia="Cambria" w:hAnsiTheme="majorHAnsi" w:cs="Cambria"/>
              </w:rPr>
              <w:t xml:space="preserve">The aim of this research is to ascertain </w:t>
            </w:r>
            <w:r w:rsidRPr="00BE77FA">
              <w:rPr>
                <w:rFonts w:asciiTheme="majorHAnsi" w:eastAsia="Cambria" w:hAnsiTheme="majorHAnsi" w:cs="Cambria"/>
              </w:rPr>
              <w:t xml:space="preserve">how the corruption eradication commission and the military police are involved in handling corruption crimes in the military environment. The method used in this study is normative juridical by using a statutory approach and a conceptual approach. Corruption in the procurement of goods and services in the military has its own challenges because it involves strategic materials and defense projects. The Military Police plays an important role in investigating military personnel involved in corruption, especially in maintaining military discipline. The Corruption Eradication Commission has broad authority to investigate corruption cases, including those involving military personnel. However, for the prosecution process, cases involving military personnel must be heard in Military Courts. The results of this study show that the balance between the military civil justice system is essential for effective law enforcement in corruption cases in the military environment.  </w:t>
            </w:r>
          </w:p>
        </w:tc>
      </w:tr>
      <w:tr w:rsidR="004B15EE" w:rsidRPr="006212FA" w14:paraId="5AEC5E73" w14:textId="77777777" w:rsidTr="001669CC">
        <w:trPr>
          <w:trHeight w:val="884"/>
        </w:trPr>
        <w:tc>
          <w:tcPr>
            <w:tcW w:w="2246" w:type="dxa"/>
            <w:vMerge w:val="restart"/>
            <w:tcBorders>
              <w:top w:val="single" w:sz="4" w:space="0" w:color="auto"/>
              <w:left w:val="nil"/>
              <w:bottom w:val="single" w:sz="4" w:space="0" w:color="auto"/>
              <w:right w:val="nil"/>
            </w:tcBorders>
          </w:tcPr>
          <w:p w14:paraId="488D307D" w14:textId="6780D335" w:rsidR="001140EF" w:rsidRPr="00EF6092" w:rsidRDefault="004B15EE" w:rsidP="001140EF">
            <w:pPr>
              <w:spacing w:before="120" w:after="120"/>
              <w:ind w:left="-108"/>
              <w:rPr>
                <w:rFonts w:asciiTheme="majorHAnsi" w:eastAsia="Cambria" w:hAnsiTheme="majorHAnsi" w:cs="Cambria"/>
                <w:bCs/>
                <w:i/>
              </w:rPr>
            </w:pPr>
            <w:bookmarkStart w:id="1" w:name="Keywords"/>
            <w:r w:rsidRPr="00297B35">
              <w:rPr>
                <w:rFonts w:asciiTheme="majorHAnsi" w:hAnsiTheme="majorHAnsi"/>
                <w:b/>
                <w:i/>
              </w:rPr>
              <w:t>Keywords</w:t>
            </w:r>
            <w:bookmarkEnd w:id="1"/>
            <w:r>
              <w:rPr>
                <w:rFonts w:asciiTheme="majorHAnsi" w:hAnsiTheme="majorHAnsi"/>
                <w:b/>
                <w:i/>
              </w:rPr>
              <w:br/>
            </w:r>
            <w:r w:rsidR="001140EF" w:rsidRPr="00EF6092">
              <w:rPr>
                <w:rFonts w:asciiTheme="majorHAnsi" w:eastAsia="Cambria" w:hAnsiTheme="majorHAnsi" w:cs="Cambria"/>
                <w:bCs/>
                <w:i/>
              </w:rPr>
              <w:t xml:space="preserve">Military </w:t>
            </w:r>
            <w:r w:rsidR="001140EF">
              <w:rPr>
                <w:rFonts w:asciiTheme="majorHAnsi" w:eastAsia="Cambria" w:hAnsiTheme="majorHAnsi" w:cs="Cambria"/>
                <w:bCs/>
                <w:i/>
              </w:rPr>
              <w:t>p</w:t>
            </w:r>
            <w:r w:rsidR="001140EF" w:rsidRPr="00EF6092">
              <w:rPr>
                <w:rFonts w:asciiTheme="majorHAnsi" w:eastAsia="Cambria" w:hAnsiTheme="majorHAnsi" w:cs="Cambria"/>
                <w:bCs/>
                <w:i/>
              </w:rPr>
              <w:t>olice, military procurement, corruption</w:t>
            </w:r>
          </w:p>
          <w:p w14:paraId="577C703C" w14:textId="6B8A107C" w:rsidR="004B15EE" w:rsidRPr="00B76BFE" w:rsidRDefault="004B15EE" w:rsidP="004B15EE">
            <w:pPr>
              <w:ind w:left="-108"/>
              <w:jc w:val="both"/>
              <w:rPr>
                <w:rFonts w:asciiTheme="majorHAnsi" w:eastAsia="Cambria" w:hAnsiTheme="majorHAnsi" w:cs="Cambria"/>
                <w:i/>
                <w:sz w:val="16"/>
                <w:szCs w:val="16"/>
              </w:rPr>
            </w:pPr>
          </w:p>
          <w:p w14:paraId="4E7E577A" w14:textId="5BEA9F16" w:rsidR="004B15EE" w:rsidRPr="00CA69D1" w:rsidRDefault="004B15EE" w:rsidP="004B15EE">
            <w:pPr>
              <w:ind w:left="-108"/>
              <w:jc w:val="both"/>
              <w:rPr>
                <w:rFonts w:eastAsia="Cambria"/>
              </w:rPr>
            </w:pPr>
          </w:p>
          <w:p w14:paraId="52EC4959" w14:textId="5FEEC5D9" w:rsidR="004B15EE" w:rsidRPr="009F6AC4" w:rsidRDefault="004B15EE" w:rsidP="004B15EE">
            <w:pPr>
              <w:ind w:left="-108"/>
              <w:jc w:val="both"/>
              <w:rPr>
                <w:rFonts w:ascii="Cambria" w:eastAsia="Cambria" w:hAnsi="Cambria" w:cs="Cambria"/>
                <w:i/>
              </w:rPr>
            </w:pPr>
          </w:p>
        </w:tc>
        <w:tc>
          <w:tcPr>
            <w:tcW w:w="280" w:type="dxa"/>
            <w:vMerge/>
            <w:tcBorders>
              <w:top w:val="nil"/>
              <w:left w:val="nil"/>
              <w:bottom w:val="nil"/>
              <w:right w:val="nil"/>
            </w:tcBorders>
          </w:tcPr>
          <w:p w14:paraId="4DC6CDD2" w14:textId="77777777" w:rsidR="004B15EE" w:rsidRPr="006212FA" w:rsidRDefault="004B15EE" w:rsidP="004B15EE">
            <w:pPr>
              <w:spacing w:before="120"/>
              <w:jc w:val="both"/>
              <w:rPr>
                <w:rFonts w:asciiTheme="majorHAnsi" w:hAnsiTheme="majorHAnsi"/>
              </w:rPr>
            </w:pPr>
          </w:p>
        </w:tc>
        <w:tc>
          <w:tcPr>
            <w:tcW w:w="6830" w:type="dxa"/>
            <w:vMerge/>
            <w:tcBorders>
              <w:top w:val="nil"/>
              <w:left w:val="nil"/>
              <w:bottom w:val="nil"/>
              <w:right w:val="nil"/>
            </w:tcBorders>
          </w:tcPr>
          <w:p w14:paraId="5ED2E01B" w14:textId="77777777" w:rsidR="004B15EE" w:rsidRPr="006212FA" w:rsidRDefault="004B15EE" w:rsidP="004B15EE">
            <w:pPr>
              <w:spacing w:before="120"/>
              <w:jc w:val="both"/>
              <w:rPr>
                <w:rFonts w:asciiTheme="majorHAnsi" w:hAnsiTheme="majorHAnsi"/>
                <w:iCs/>
              </w:rPr>
            </w:pPr>
          </w:p>
        </w:tc>
      </w:tr>
      <w:tr w:rsidR="004B15EE" w:rsidRPr="006212FA" w14:paraId="0ED5927A" w14:textId="77777777" w:rsidTr="001669CC">
        <w:trPr>
          <w:trHeight w:val="848"/>
        </w:trPr>
        <w:tc>
          <w:tcPr>
            <w:tcW w:w="2246" w:type="dxa"/>
            <w:vMerge/>
            <w:tcBorders>
              <w:top w:val="single" w:sz="4" w:space="0" w:color="auto"/>
              <w:left w:val="nil"/>
              <w:bottom w:val="nil"/>
              <w:right w:val="nil"/>
            </w:tcBorders>
          </w:tcPr>
          <w:p w14:paraId="38F0382C" w14:textId="77777777" w:rsidR="004B15EE" w:rsidRPr="006212FA" w:rsidRDefault="004B15EE" w:rsidP="004B15EE">
            <w:pPr>
              <w:spacing w:before="120" w:after="120"/>
              <w:ind w:right="-108"/>
              <w:jc w:val="both"/>
              <w:rPr>
                <w:rFonts w:asciiTheme="majorHAnsi" w:hAnsiTheme="majorHAnsi"/>
                <w:b/>
                <w:i/>
              </w:rPr>
            </w:pPr>
          </w:p>
        </w:tc>
        <w:tc>
          <w:tcPr>
            <w:tcW w:w="280" w:type="dxa"/>
            <w:vMerge/>
            <w:tcBorders>
              <w:top w:val="nil"/>
              <w:left w:val="nil"/>
              <w:bottom w:val="nil"/>
              <w:right w:val="nil"/>
            </w:tcBorders>
          </w:tcPr>
          <w:p w14:paraId="72A7B404" w14:textId="77777777" w:rsidR="004B15EE" w:rsidRPr="006212FA" w:rsidRDefault="004B15EE" w:rsidP="004B15EE">
            <w:pPr>
              <w:spacing w:before="120"/>
              <w:ind w:right="-108"/>
              <w:jc w:val="both"/>
              <w:rPr>
                <w:rFonts w:asciiTheme="majorHAnsi" w:hAnsiTheme="majorHAnsi"/>
              </w:rPr>
            </w:pPr>
          </w:p>
        </w:tc>
        <w:tc>
          <w:tcPr>
            <w:tcW w:w="6830" w:type="dxa"/>
            <w:tcBorders>
              <w:top w:val="nil"/>
              <w:left w:val="nil"/>
              <w:bottom w:val="nil"/>
              <w:right w:val="nil"/>
            </w:tcBorders>
          </w:tcPr>
          <w:p w14:paraId="7865140E" w14:textId="77777777" w:rsidR="004B15EE" w:rsidRDefault="004B15EE" w:rsidP="004B15EE">
            <w:pPr>
              <w:ind w:right="-108"/>
              <w:rPr>
                <w:rFonts w:asciiTheme="majorHAnsi" w:hAnsiTheme="majorHAnsi"/>
                <w:i/>
                <w:shd w:val="clear" w:color="auto" w:fill="FFFFFF"/>
              </w:rPr>
            </w:pPr>
          </w:p>
          <w:p w14:paraId="10F1DF3A" w14:textId="77777777" w:rsidR="004B15EE" w:rsidRDefault="004B15EE" w:rsidP="004B15EE">
            <w:pPr>
              <w:ind w:right="-108"/>
              <w:rPr>
                <w:rFonts w:asciiTheme="majorHAnsi" w:hAnsiTheme="majorHAnsi"/>
                <w:i/>
                <w:shd w:val="clear" w:color="auto" w:fill="FFFFFF"/>
              </w:rPr>
            </w:pPr>
          </w:p>
          <w:p w14:paraId="26B1FAF6" w14:textId="627688A5" w:rsidR="004B15EE" w:rsidRPr="00197200" w:rsidRDefault="004B15EE" w:rsidP="004B15EE">
            <w:pPr>
              <w:ind w:right="-108"/>
              <w:jc w:val="right"/>
              <w:rPr>
                <w:rFonts w:asciiTheme="majorHAnsi" w:hAnsiTheme="majorHAnsi"/>
                <w:i/>
                <w:iCs/>
              </w:rPr>
            </w:pPr>
            <w:r w:rsidRPr="00E5723C">
              <w:rPr>
                <w:rFonts w:asciiTheme="majorHAnsi" w:hAnsiTheme="majorHAnsi"/>
                <w:i/>
                <w:shd w:val="clear" w:color="auto" w:fill="FFFFFF"/>
              </w:rPr>
              <w:t>International Journal of Social Sciences and Humanities</w:t>
            </w:r>
            <w:r>
              <w:rPr>
                <w:rFonts w:asciiTheme="majorHAnsi" w:hAnsiTheme="majorHAnsi"/>
                <w:i/>
                <w:shd w:val="clear" w:color="auto" w:fill="FFFFFF"/>
              </w:rPr>
              <w:t xml:space="preserve"> </w:t>
            </w:r>
            <w:r w:rsidRPr="00197200">
              <w:rPr>
                <w:rFonts w:asciiTheme="majorHAnsi" w:hAnsiTheme="majorHAnsi"/>
                <w:i/>
                <w:shd w:val="clear" w:color="auto" w:fill="FFFFFF"/>
              </w:rPr>
              <w:t>©</w:t>
            </w:r>
            <w:r w:rsidRPr="00197200">
              <w:rPr>
                <w:rFonts w:asciiTheme="majorHAnsi" w:hAnsiTheme="majorHAnsi"/>
                <w:i/>
                <w:iCs/>
                <w:vertAlign w:val="superscript"/>
              </w:rPr>
              <w:t xml:space="preserve"> </w:t>
            </w:r>
            <w:r>
              <w:rPr>
                <w:rFonts w:asciiTheme="majorHAnsi" w:hAnsiTheme="majorHAnsi"/>
                <w:i/>
                <w:iCs/>
              </w:rPr>
              <w:t>2024</w:t>
            </w:r>
            <w:r w:rsidRPr="00197200">
              <w:rPr>
                <w:rFonts w:asciiTheme="majorHAnsi" w:hAnsiTheme="majorHAnsi"/>
                <w:i/>
                <w:iCs/>
              </w:rPr>
              <w:t>.</w:t>
            </w:r>
          </w:p>
          <w:p w14:paraId="14F56C70" w14:textId="77777777" w:rsidR="004B15EE" w:rsidRPr="00197200" w:rsidRDefault="004B15EE" w:rsidP="004B15EE">
            <w:pPr>
              <w:ind w:right="-108"/>
              <w:jc w:val="right"/>
              <w:rPr>
                <w:rFonts w:asciiTheme="majorHAnsi" w:hAnsiTheme="majorHAnsi"/>
                <w:i/>
                <w:iCs/>
              </w:rPr>
            </w:pPr>
            <w:r w:rsidRPr="00197200">
              <w:rPr>
                <w:rFonts w:asciiTheme="majorHAnsi" w:hAnsiTheme="majorHAnsi"/>
                <w:i/>
                <w:iCs/>
              </w:rPr>
              <w:t>This is an open access article under the CC BY-NC-ND license</w:t>
            </w:r>
          </w:p>
          <w:p w14:paraId="264DB997" w14:textId="77777777" w:rsidR="004B15EE" w:rsidRPr="00E147D3" w:rsidRDefault="004B15EE" w:rsidP="004B15EE">
            <w:pPr>
              <w:ind w:right="-108"/>
              <w:jc w:val="right"/>
              <w:rPr>
                <w:rFonts w:asciiTheme="majorHAnsi" w:hAnsiTheme="majorHAnsi"/>
                <w:i/>
                <w:iCs/>
              </w:rPr>
            </w:pPr>
            <w:r w:rsidRPr="00197200">
              <w:rPr>
                <w:rFonts w:asciiTheme="majorHAnsi" w:hAnsiTheme="majorHAnsi"/>
                <w:i/>
              </w:rPr>
              <w:t>(</w:t>
            </w:r>
            <w:hyperlink r:id="rId8" w:history="1">
              <w:r w:rsidRPr="00197200">
                <w:rPr>
                  <w:rStyle w:val="Hyperlink"/>
                  <w:rFonts w:asciiTheme="majorHAnsi" w:hAnsiTheme="majorHAnsi"/>
                  <w:i/>
                  <w:u w:val="none"/>
                </w:rPr>
                <w:t>https://creativecommons.org/licenses/by-nc-nd/4.0/</w:t>
              </w:r>
            </w:hyperlink>
            <w:r w:rsidRPr="00197200">
              <w:rPr>
                <w:rFonts w:asciiTheme="majorHAnsi" w:hAnsiTheme="majorHAnsi"/>
                <w:i/>
              </w:rPr>
              <w:t>)</w:t>
            </w:r>
          </w:p>
        </w:tc>
      </w:tr>
      <w:tr w:rsidR="004B15EE" w:rsidRPr="006212FA" w14:paraId="4EDA9846" w14:textId="77777777" w:rsidTr="001669CC">
        <w:trPr>
          <w:trHeight w:val="53"/>
        </w:trPr>
        <w:tc>
          <w:tcPr>
            <w:tcW w:w="9356" w:type="dxa"/>
            <w:gridSpan w:val="3"/>
            <w:tcBorders>
              <w:top w:val="nil"/>
              <w:left w:val="nil"/>
              <w:bottom w:val="double" w:sz="4" w:space="0" w:color="auto"/>
              <w:right w:val="nil"/>
            </w:tcBorders>
          </w:tcPr>
          <w:p w14:paraId="326103C6" w14:textId="77777777" w:rsidR="004B15EE" w:rsidRPr="006212FA" w:rsidRDefault="004B15EE" w:rsidP="004B15EE">
            <w:pPr>
              <w:ind w:right="-108"/>
              <w:rPr>
                <w:rFonts w:asciiTheme="majorHAnsi" w:hAnsiTheme="majorHAnsi"/>
                <w:sz w:val="2"/>
                <w:szCs w:val="2"/>
              </w:rPr>
            </w:pPr>
          </w:p>
        </w:tc>
      </w:tr>
    </w:tbl>
    <w:p w14:paraId="33108B00" w14:textId="77777777" w:rsidR="002E32D4" w:rsidRPr="006212FA" w:rsidRDefault="002E32D4" w:rsidP="00FF7C2F">
      <w:pPr>
        <w:shd w:val="clear" w:color="auto" w:fill="FFFFFF" w:themeFill="background1"/>
        <w:spacing w:after="40"/>
        <w:ind w:right="51"/>
        <w:rPr>
          <w:rFonts w:asciiTheme="majorHAnsi" w:eastAsiaTheme="majorEastAsia" w:hAnsiTheme="majorHAnsi" w:cstheme="majorBidi"/>
          <w:b/>
          <w:bCs/>
          <w:sz w:val="10"/>
          <w:szCs w:val="10"/>
        </w:rPr>
      </w:pPr>
    </w:p>
    <w:p w14:paraId="1CB1431D" w14:textId="77777777" w:rsidR="00891C38" w:rsidRPr="00246556" w:rsidRDefault="00891C38" w:rsidP="00891C38">
      <w:pPr>
        <w:shd w:val="clear" w:color="auto" w:fill="FFFFFF" w:themeFill="background1"/>
        <w:spacing w:after="40"/>
        <w:ind w:right="51"/>
        <w:rPr>
          <w:rFonts w:ascii="Cambria" w:eastAsiaTheme="majorEastAsia" w:hAnsi="Cambria"/>
          <w:b/>
          <w:bCs/>
        </w:rPr>
      </w:pPr>
      <w:r w:rsidRPr="00246556">
        <w:rPr>
          <w:rFonts w:ascii="Cambria" w:eastAsiaTheme="majorEastAsia" w:hAnsi="Cambria"/>
          <w:b/>
          <w:bCs/>
        </w:rPr>
        <w:t>Contents</w:t>
      </w:r>
    </w:p>
    <w:p w14:paraId="57686748" w14:textId="4C8E18D6" w:rsidR="00891C38" w:rsidRPr="00246556" w:rsidRDefault="00891C38" w:rsidP="004E6CBB">
      <w:pPr>
        <w:shd w:val="clear" w:color="auto" w:fill="FDE9D9" w:themeFill="accent6" w:themeFillTint="33"/>
        <w:tabs>
          <w:tab w:val="left" w:leader="dot" w:pos="8931"/>
          <w:tab w:val="right" w:pos="9355"/>
        </w:tabs>
        <w:ind w:right="51"/>
        <w:rPr>
          <w:rFonts w:ascii="Cambria" w:hAnsi="Cambria"/>
        </w:rPr>
      </w:pPr>
      <w:r w:rsidRPr="00246556">
        <w:rPr>
          <w:rFonts w:ascii="Cambria" w:hAnsi="Cambria"/>
        </w:rPr>
        <w:t>Abstract</w:t>
      </w:r>
      <w:r w:rsidRPr="00246556">
        <w:rPr>
          <w:rFonts w:ascii="Cambria" w:hAnsi="Cambria"/>
        </w:rPr>
        <w:tab/>
      </w:r>
      <w:r w:rsidR="009A7860">
        <w:rPr>
          <w:rFonts w:ascii="Cambria" w:hAnsi="Cambria"/>
        </w:rPr>
        <w:t xml:space="preserve">  9</w:t>
      </w:r>
      <w:r w:rsidR="004E6CBB">
        <w:rPr>
          <w:rFonts w:ascii="Cambria" w:hAnsi="Cambria"/>
        </w:rPr>
        <w:t>9</w:t>
      </w:r>
      <w:r w:rsidRPr="00246556">
        <w:rPr>
          <w:rFonts w:ascii="Cambria" w:hAnsi="Cambria"/>
        </w:rPr>
        <w:tab/>
      </w:r>
    </w:p>
    <w:p w14:paraId="5B4F1464" w14:textId="127C8756" w:rsidR="00891C38" w:rsidRPr="00246556" w:rsidRDefault="00891C38" w:rsidP="004E6CBB">
      <w:pPr>
        <w:shd w:val="clear" w:color="auto" w:fill="FDE9D9" w:themeFill="accent6" w:themeFillTint="33"/>
        <w:tabs>
          <w:tab w:val="left" w:leader="dot" w:pos="8931"/>
          <w:tab w:val="right" w:pos="9355"/>
        </w:tabs>
        <w:ind w:left="284" w:right="51" w:hanging="284"/>
        <w:rPr>
          <w:rFonts w:ascii="Cambria" w:hAnsi="Cambria"/>
        </w:rPr>
      </w:pPr>
      <w:r w:rsidRPr="00246556">
        <w:rPr>
          <w:rFonts w:ascii="Cambria" w:hAnsi="Cambria"/>
        </w:rPr>
        <w:t xml:space="preserve">1 </w:t>
      </w:r>
      <w:r w:rsidRPr="00246556">
        <w:rPr>
          <w:rFonts w:ascii="Cambria" w:hAnsi="Cambria"/>
        </w:rPr>
        <w:tab/>
        <w:t>Introduction</w:t>
      </w:r>
      <w:r w:rsidRPr="00246556">
        <w:rPr>
          <w:rFonts w:ascii="Cambria" w:hAnsi="Cambria"/>
        </w:rPr>
        <w:tab/>
      </w:r>
      <w:r w:rsidR="004E6CBB">
        <w:rPr>
          <w:rFonts w:ascii="Cambria" w:hAnsi="Cambria"/>
        </w:rPr>
        <w:t>1</w:t>
      </w:r>
      <w:r w:rsidR="009A7860">
        <w:rPr>
          <w:rFonts w:ascii="Cambria" w:hAnsi="Cambria"/>
        </w:rPr>
        <w:t>0</w:t>
      </w:r>
      <w:r w:rsidR="004E6CBB">
        <w:rPr>
          <w:rFonts w:ascii="Cambria" w:hAnsi="Cambria"/>
        </w:rPr>
        <w:t>0</w:t>
      </w:r>
      <w:r w:rsidRPr="00246556">
        <w:rPr>
          <w:rFonts w:ascii="Cambria" w:hAnsi="Cambria"/>
        </w:rPr>
        <w:tab/>
      </w:r>
    </w:p>
    <w:p w14:paraId="03CE1500" w14:textId="6D0EEE2C" w:rsidR="00891C38" w:rsidRPr="00246556" w:rsidRDefault="00891C38" w:rsidP="004E6CBB">
      <w:pPr>
        <w:shd w:val="clear" w:color="auto" w:fill="FDE9D9" w:themeFill="accent6" w:themeFillTint="33"/>
        <w:tabs>
          <w:tab w:val="left" w:leader="dot" w:pos="8931"/>
          <w:tab w:val="right" w:pos="9355"/>
        </w:tabs>
        <w:ind w:left="284" w:right="51" w:hanging="284"/>
        <w:rPr>
          <w:rFonts w:ascii="Cambria" w:hAnsi="Cambria"/>
        </w:rPr>
      </w:pPr>
      <w:r w:rsidRPr="00246556">
        <w:rPr>
          <w:rFonts w:ascii="Cambria" w:hAnsi="Cambria"/>
          <w:bCs/>
        </w:rPr>
        <w:t xml:space="preserve">2 </w:t>
      </w:r>
      <w:r w:rsidRPr="00246556">
        <w:rPr>
          <w:rFonts w:ascii="Cambria" w:hAnsi="Cambria"/>
          <w:bCs/>
        </w:rPr>
        <w:tab/>
        <w:t>Materials and Methods</w:t>
      </w:r>
      <w:r w:rsidRPr="00246556">
        <w:rPr>
          <w:rFonts w:ascii="Cambria" w:hAnsi="Cambria"/>
          <w:bCs/>
        </w:rPr>
        <w:tab/>
      </w:r>
      <w:r w:rsidR="004E6CBB">
        <w:rPr>
          <w:rFonts w:ascii="Cambria" w:hAnsi="Cambria"/>
          <w:bCs/>
        </w:rPr>
        <w:t>1</w:t>
      </w:r>
      <w:r w:rsidR="009A7860">
        <w:rPr>
          <w:rFonts w:ascii="Cambria" w:hAnsi="Cambria"/>
          <w:bCs/>
        </w:rPr>
        <w:t>1</w:t>
      </w:r>
      <w:r w:rsidR="004E6CBB">
        <w:rPr>
          <w:rFonts w:ascii="Cambria" w:hAnsi="Cambria"/>
          <w:bCs/>
        </w:rPr>
        <w:t>1</w:t>
      </w:r>
      <w:r w:rsidRPr="00246556">
        <w:rPr>
          <w:rFonts w:ascii="Cambria" w:hAnsi="Cambria"/>
          <w:bCs/>
        </w:rPr>
        <w:tab/>
      </w:r>
    </w:p>
    <w:p w14:paraId="14085E38" w14:textId="0D5A30DA" w:rsidR="00891C38" w:rsidRPr="00246556" w:rsidRDefault="00891C38" w:rsidP="004E6CBB">
      <w:pPr>
        <w:shd w:val="clear" w:color="auto" w:fill="FDE9D9" w:themeFill="accent6" w:themeFillTint="33"/>
        <w:tabs>
          <w:tab w:val="left" w:leader="dot" w:pos="8931"/>
          <w:tab w:val="right" w:pos="9355"/>
        </w:tabs>
        <w:ind w:left="284" w:right="51" w:hanging="284"/>
        <w:rPr>
          <w:rFonts w:ascii="Cambria" w:hAnsi="Cambria"/>
        </w:rPr>
      </w:pPr>
      <w:r w:rsidRPr="00246556">
        <w:rPr>
          <w:rFonts w:ascii="Cambria" w:hAnsi="Cambria"/>
          <w:bCs/>
        </w:rPr>
        <w:t xml:space="preserve">3 </w:t>
      </w:r>
      <w:r w:rsidRPr="00246556">
        <w:rPr>
          <w:rFonts w:ascii="Cambria" w:hAnsi="Cambria"/>
          <w:bCs/>
        </w:rPr>
        <w:tab/>
        <w:t>Results and Discussions</w:t>
      </w:r>
      <w:r w:rsidRPr="00246556">
        <w:rPr>
          <w:rFonts w:ascii="Cambria" w:hAnsi="Cambria"/>
          <w:bCs/>
        </w:rPr>
        <w:tab/>
      </w:r>
      <w:r w:rsidR="004E6CBB">
        <w:rPr>
          <w:rFonts w:ascii="Cambria" w:hAnsi="Cambria"/>
          <w:bCs/>
        </w:rPr>
        <w:t>1</w:t>
      </w:r>
      <w:r w:rsidR="009A7860">
        <w:rPr>
          <w:rFonts w:ascii="Cambria" w:hAnsi="Cambria"/>
          <w:bCs/>
        </w:rPr>
        <w:t>1</w:t>
      </w:r>
      <w:r w:rsidR="004E6CBB">
        <w:rPr>
          <w:rFonts w:ascii="Cambria" w:hAnsi="Cambria"/>
          <w:bCs/>
        </w:rPr>
        <w:t>1</w:t>
      </w:r>
      <w:r w:rsidRPr="00246556">
        <w:rPr>
          <w:rFonts w:ascii="Cambria" w:hAnsi="Cambria"/>
          <w:bCs/>
        </w:rPr>
        <w:tab/>
      </w:r>
    </w:p>
    <w:p w14:paraId="20134D2F" w14:textId="7FDA02F7" w:rsidR="00891C38" w:rsidRPr="00246556" w:rsidRDefault="00891C38" w:rsidP="004E6CBB">
      <w:pPr>
        <w:shd w:val="clear" w:color="auto" w:fill="FDE9D9" w:themeFill="accent6" w:themeFillTint="33"/>
        <w:tabs>
          <w:tab w:val="left" w:leader="dot" w:pos="8931"/>
          <w:tab w:val="right" w:pos="9355"/>
        </w:tabs>
        <w:ind w:left="284" w:right="51" w:hanging="284"/>
        <w:rPr>
          <w:rFonts w:ascii="Cambria" w:hAnsi="Cambria"/>
          <w:bCs/>
        </w:rPr>
      </w:pPr>
      <w:r w:rsidRPr="00246556">
        <w:rPr>
          <w:rFonts w:ascii="Cambria" w:hAnsi="Cambria"/>
          <w:bCs/>
        </w:rPr>
        <w:t xml:space="preserve">4 </w:t>
      </w:r>
      <w:r w:rsidRPr="00246556">
        <w:rPr>
          <w:rFonts w:ascii="Cambria" w:hAnsi="Cambria"/>
          <w:bCs/>
        </w:rPr>
        <w:tab/>
        <w:t>Conclusion</w:t>
      </w:r>
      <w:r w:rsidRPr="00246556">
        <w:rPr>
          <w:rFonts w:ascii="Cambria" w:hAnsi="Cambria"/>
          <w:bCs/>
        </w:rPr>
        <w:tab/>
      </w:r>
      <w:r w:rsidR="004E6CBB">
        <w:rPr>
          <w:rFonts w:ascii="Cambria" w:hAnsi="Cambria"/>
          <w:bCs/>
        </w:rPr>
        <w:t>1</w:t>
      </w:r>
      <w:r w:rsidR="009A7860">
        <w:rPr>
          <w:rFonts w:ascii="Cambria" w:hAnsi="Cambria"/>
          <w:bCs/>
        </w:rPr>
        <w:t>0</w:t>
      </w:r>
      <w:r w:rsidR="004E6CBB">
        <w:rPr>
          <w:rFonts w:ascii="Cambria" w:hAnsi="Cambria"/>
          <w:bCs/>
        </w:rPr>
        <w:t>3</w:t>
      </w:r>
      <w:r w:rsidRPr="00246556">
        <w:rPr>
          <w:rFonts w:ascii="Cambria" w:hAnsi="Cambria"/>
          <w:bCs/>
        </w:rPr>
        <w:tab/>
      </w:r>
    </w:p>
    <w:p w14:paraId="1F84B874" w14:textId="19206C65" w:rsidR="00891C38" w:rsidRPr="00246556" w:rsidRDefault="00891C38" w:rsidP="004E6CBB">
      <w:pPr>
        <w:shd w:val="clear" w:color="auto" w:fill="FDE9D9" w:themeFill="accent6" w:themeFillTint="33"/>
        <w:tabs>
          <w:tab w:val="left" w:leader="dot" w:pos="8931"/>
          <w:tab w:val="right" w:pos="9355"/>
        </w:tabs>
        <w:ind w:left="284" w:right="51" w:hanging="284"/>
        <w:rPr>
          <w:rFonts w:ascii="Cambria" w:hAnsi="Cambria"/>
        </w:rPr>
      </w:pPr>
      <w:r w:rsidRPr="00246556">
        <w:rPr>
          <w:rFonts w:ascii="Cambria" w:hAnsi="Cambria"/>
        </w:rPr>
        <w:tab/>
      </w:r>
      <w:r w:rsidRPr="00246556">
        <w:rPr>
          <w:rStyle w:val="apple-style-span"/>
          <w:rFonts w:ascii="Cambria" w:hAnsi="Cambria"/>
          <w:lang w:val="pt-BR"/>
        </w:rPr>
        <w:t>References</w:t>
      </w:r>
      <w:r w:rsidRPr="00246556">
        <w:rPr>
          <w:rStyle w:val="apple-style-span"/>
          <w:rFonts w:ascii="Cambria" w:hAnsi="Cambria"/>
          <w:lang w:val="pt-BR"/>
        </w:rPr>
        <w:tab/>
      </w:r>
      <w:r w:rsidR="004E6CBB">
        <w:rPr>
          <w:rStyle w:val="apple-style-span"/>
          <w:rFonts w:ascii="Cambria" w:hAnsi="Cambria"/>
          <w:lang w:val="pt-BR"/>
        </w:rPr>
        <w:t>1</w:t>
      </w:r>
      <w:r w:rsidR="009A7860">
        <w:rPr>
          <w:rStyle w:val="apple-style-span"/>
          <w:rFonts w:ascii="Cambria" w:hAnsi="Cambria"/>
          <w:lang w:val="pt-BR"/>
        </w:rPr>
        <w:t>03</w:t>
      </w:r>
      <w:r w:rsidRPr="00246556">
        <w:rPr>
          <w:rStyle w:val="apple-style-span"/>
          <w:rFonts w:ascii="Cambria" w:hAnsi="Cambria"/>
          <w:lang w:val="pt-BR"/>
        </w:rPr>
        <w:tab/>
      </w:r>
    </w:p>
    <w:p w14:paraId="41A4EC58" w14:textId="77777777" w:rsidR="00891C38" w:rsidRPr="00C03343" w:rsidRDefault="00891C38" w:rsidP="00891C38">
      <w:pPr>
        <w:shd w:val="clear" w:color="auto" w:fill="FDE9D9" w:themeFill="accent6" w:themeFillTint="33"/>
        <w:tabs>
          <w:tab w:val="left" w:leader="dot" w:pos="8931"/>
          <w:tab w:val="right" w:pos="9355"/>
        </w:tabs>
        <w:ind w:left="284" w:right="51" w:hanging="284"/>
        <w:rPr>
          <w:sz w:val="24"/>
          <w:szCs w:val="24"/>
        </w:rPr>
      </w:pPr>
      <w:r w:rsidRPr="00C03343">
        <w:rPr>
          <w:rStyle w:val="apple-style-span"/>
          <w:sz w:val="24"/>
          <w:szCs w:val="24"/>
          <w:lang w:val="pt-BR"/>
        </w:rPr>
        <w:tab/>
      </w:r>
      <w:r w:rsidRPr="00C03343">
        <w:rPr>
          <w:noProof/>
          <w:color w:val="FF0000"/>
          <w:sz w:val="24"/>
          <w:szCs w:val="24"/>
        </w:rPr>
        <mc:AlternateContent>
          <mc:Choice Requires="wps">
            <w:drawing>
              <wp:anchor distT="4294967295" distB="4294967295" distL="114300" distR="114300" simplePos="0" relativeHeight="251659264" behindDoc="0" locked="0" layoutInCell="1" allowOverlap="1" wp14:anchorId="356629A3" wp14:editId="2B5831D3">
                <wp:simplePos x="0" y="0"/>
                <wp:positionH relativeFrom="margin">
                  <wp:posOffset>-19050</wp:posOffset>
                </wp:positionH>
                <wp:positionV relativeFrom="paragraph">
                  <wp:posOffset>100330</wp:posOffset>
                </wp:positionV>
                <wp:extent cx="5983605" cy="0"/>
                <wp:effectExtent l="0" t="19050" r="55245" b="38100"/>
                <wp:wrapNone/>
                <wp:docPr id="21"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83605" cy="0"/>
                        </a:xfrm>
                        <a:prstGeom prst="line">
                          <a:avLst/>
                        </a:prstGeom>
                        <a:noFill/>
                        <a:ln w="63500" cmpd="tri">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50A13B25" id="Straight Connector 40"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margin" from="-1.5pt,7.9pt" to="469.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Vr1HAIAAC4EAAAOAAAAZHJzL2Uyb0RvYy54bWysU8uu0zAQ3SPxD5b3bZI2LW3U9AolDZsL&#10;t1LhA1zbaSwc27LdpleIf2fsPqCwQYiN48fMyZkzZ1ZP516iE7dOaFXibJxixBXVTKhDib98bkYL&#10;jJwnihGpFS/xK3f4af32zWowBZ/oTkvGLQIQ5YrBlLjz3hRJ4mjHe+LG2nAFj622PfFwtIeEWTIA&#10;ei+TSZrOk0FbZqym3Dm4rS+PeB3x25ZT/9K2jnskSwzcfFxtXPdhTdYrUhwsMZ2gVxrkH1j0RCj4&#10;6R2qJp6goxV/QPWCWu1068dU94luW0F5rAGqydLfqtl1xPBYC4jjzF0m9/9g6afT1iLBSjzJMFKk&#10;hx7tvCXi0HlUaaVAQW1RHpUajCsgoVJbG2qlZ7Uzz5p+daBi8vAYDs4A8n74qBlgkqPXUaBza/uQ&#10;DKWjc+zD670P/OwRhcvZcjGdpzOM6O0tIcUt0VjnP3Ddo7ApsRQqSEQKcnp2PhAhxS0kXCvdCClj&#10;m6VCQ4nn01kKTqC9gaK9FTHZaSlYCAwpzh72lbToRMA0TVOlEH8Bfgiz+qhYBO44YZvr3hMhL3sg&#10;IlXAg7KA2nV3ccW3ZbrcLDaLfJRP5ptRntb16H1T5aN5k72b1dO6qurse6CW5UUnGOMqsLs5NMv/&#10;zgHXWbl46+7RuyTJI3rUDsjevpF07GtoZRgpV+w1e93aoEY4gSlj8HWAgut/Pceon2O+/gEAAP//&#10;AwBQSwMEFAAGAAgAAAAhAFugNizcAAAACAEAAA8AAABkcnMvZG93bnJldi54bWxMj81OwzAQhO9I&#10;vIO1SNxah0b8NMSpKBAO3GgR4ujG2ySqvY5stw1v3604wHFnRrPzlYvRWXHAEHtPCm6mGQikxpue&#10;WgWf63ryACImTUZbT6jgByMsqsuLUhfGH+kDD6vUCi6hWGgFXUpDIWVsOnQ6Tv2AxN7WB6cTn6GV&#10;JugjlzsrZ1l2J53uiT90esDnDpvdau8U1O/L9i184f33rN6+LF9dRna9U+r6anx6BJFwTH9hOM/n&#10;6VDxpo3fk4nCKpjkjJJYv2UC9uf5PAex+RVkVcr/ANUJAAD//wMAUEsBAi0AFAAGAAgAAAAhALaD&#10;OJL+AAAA4QEAABMAAAAAAAAAAAAAAAAAAAAAAFtDb250ZW50X1R5cGVzXS54bWxQSwECLQAUAAYA&#10;CAAAACEAOP0h/9YAAACUAQAACwAAAAAAAAAAAAAAAAAvAQAAX3JlbHMvLnJlbHNQSwECLQAUAAYA&#10;CAAAACEAGG1a9RwCAAAuBAAADgAAAAAAAAAAAAAAAAAuAgAAZHJzL2Uyb0RvYy54bWxQSwECLQAU&#10;AAYACAAAACEAW6A2LNwAAAAIAQAADwAAAAAAAAAAAAAAAAB2BAAAZHJzL2Rvd25yZXYueG1sUEsF&#10;BgAAAAAEAAQA8wAAAH8FAAAAAA==&#10;" strokecolor="#ffc000" strokeweight="5pt">
                <v:stroke linestyle="thickBetweenThin"/>
                <o:lock v:ext="edit" shapetype="f"/>
                <w10:wrap anchorx="margin"/>
              </v:line>
            </w:pict>
          </mc:Fallback>
        </mc:AlternateContent>
      </w:r>
    </w:p>
    <w:p w14:paraId="5BA01D06" w14:textId="77777777" w:rsidR="00BB1CF2" w:rsidRDefault="00BB1CF2" w:rsidP="009C7995">
      <w:pPr>
        <w:rPr>
          <w:rFonts w:asciiTheme="majorHAnsi" w:hAnsiTheme="majorHAnsi"/>
          <w:b/>
          <w:bCs/>
          <w:sz w:val="24"/>
          <w:szCs w:val="24"/>
        </w:rPr>
      </w:pPr>
    </w:p>
    <w:p w14:paraId="0131FC3E" w14:textId="617F63CA" w:rsidR="00425F0C" w:rsidRPr="00344055" w:rsidRDefault="00425F0C" w:rsidP="00666386">
      <w:pPr>
        <w:ind w:left="284" w:hanging="284"/>
        <w:rPr>
          <w:rFonts w:ascii="Cambria" w:hAnsi="Cambria"/>
          <w:b/>
          <w:bCs/>
          <w:sz w:val="24"/>
          <w:szCs w:val="24"/>
          <w:lang w:val="id-ID"/>
        </w:rPr>
      </w:pPr>
      <w:r w:rsidRPr="00344055">
        <w:rPr>
          <w:rFonts w:ascii="Cambria" w:hAnsi="Cambria"/>
          <w:b/>
          <w:bCs/>
          <w:sz w:val="24"/>
          <w:szCs w:val="24"/>
          <w:lang w:val="id-ID"/>
        </w:rPr>
        <w:t>Introduction</w:t>
      </w:r>
    </w:p>
    <w:p w14:paraId="0D6A97F6" w14:textId="4D54792E" w:rsidR="009F6AC4" w:rsidRDefault="009F6AC4" w:rsidP="009F6AC4">
      <w:pPr>
        <w:jc w:val="both"/>
        <w:rPr>
          <w:rFonts w:asciiTheme="majorHAnsi" w:hAnsiTheme="majorHAnsi"/>
          <w:lang w:val="id-ID"/>
        </w:rPr>
      </w:pPr>
    </w:p>
    <w:p w14:paraId="67A7BABA" w14:textId="77777777" w:rsidR="00515C8B" w:rsidRDefault="00CA69D1" w:rsidP="00515C8B">
      <w:pPr>
        <w:ind w:firstLine="284"/>
        <w:jc w:val="both"/>
        <w:rPr>
          <w:rFonts w:asciiTheme="majorHAnsi" w:hAnsiTheme="majorHAnsi"/>
        </w:rPr>
      </w:pPr>
      <w:r w:rsidRPr="00B76BFE">
        <w:rPr>
          <w:rFonts w:asciiTheme="majorHAnsi" w:hAnsiTheme="majorHAnsi"/>
        </w:rPr>
        <w:t>In the modern business world, corporate ownership structures are increasingly complex. The existence of a legal entity such as a Limited Liability Company</w:t>
      </w:r>
      <w:r>
        <w:rPr>
          <w:rFonts w:asciiTheme="majorHAnsi" w:hAnsiTheme="majorHAnsi"/>
        </w:rPr>
        <w:t xml:space="preserve"> </w:t>
      </w:r>
      <w:r w:rsidRPr="00B76BFE">
        <w:rPr>
          <w:rFonts w:asciiTheme="majorHAnsi" w:hAnsiTheme="majorHAnsi"/>
        </w:rPr>
        <w:t>(</w:t>
      </w:r>
      <w:r>
        <w:rPr>
          <w:rFonts w:asciiTheme="majorHAnsi" w:hAnsiTheme="majorHAnsi"/>
        </w:rPr>
        <w:t>LLC</w:t>
      </w:r>
      <w:r w:rsidRPr="00B76BFE">
        <w:rPr>
          <w:rFonts w:asciiTheme="majorHAnsi" w:hAnsiTheme="majorHAnsi"/>
        </w:rPr>
        <w:t xml:space="preserve">) allows the separation between the actual owner (beneficial owner) and the owner recorded in the company deed (legal owner). A beneficial owner is an individual or entity that directly or indirectly controls a company, even though his or her name may not be listed as a shareholder. </w:t>
      </w:r>
      <w:r>
        <w:rPr>
          <w:rFonts w:asciiTheme="majorHAnsi" w:hAnsiTheme="majorHAnsi"/>
        </w:rPr>
        <w:t xml:space="preserve">LLC </w:t>
      </w:r>
      <w:r w:rsidRPr="00B76BFE">
        <w:rPr>
          <w:rFonts w:asciiTheme="majorHAnsi" w:hAnsiTheme="majorHAnsi"/>
        </w:rPr>
        <w:t xml:space="preserve">are one of the most widely used forms of legal entities in economic activities in Indonesia. As a legal entity, a </w:t>
      </w:r>
      <w:r>
        <w:rPr>
          <w:rFonts w:asciiTheme="majorHAnsi" w:hAnsiTheme="majorHAnsi"/>
        </w:rPr>
        <w:t xml:space="preserve">LLC </w:t>
      </w:r>
      <w:r w:rsidRPr="00B76BFE">
        <w:rPr>
          <w:rFonts w:asciiTheme="majorHAnsi" w:hAnsiTheme="majorHAnsi"/>
        </w:rPr>
        <w:t>has a separate position from its owner, which in law is known as the conce</w:t>
      </w:r>
      <w:r>
        <w:rPr>
          <w:rFonts w:asciiTheme="majorHAnsi" w:hAnsiTheme="majorHAnsi"/>
        </w:rPr>
        <w:t xml:space="preserve"> LLC</w:t>
      </w:r>
      <w:r w:rsidRPr="00B76BFE">
        <w:rPr>
          <w:rFonts w:asciiTheme="majorHAnsi" w:hAnsiTheme="majorHAnsi"/>
        </w:rPr>
        <w:t xml:space="preserve"> of </w:t>
      </w:r>
      <w:r w:rsidRPr="00B76BFE">
        <w:rPr>
          <w:rFonts w:asciiTheme="majorHAnsi" w:hAnsiTheme="majorHAnsi"/>
          <w:i/>
          <w:iCs/>
        </w:rPr>
        <w:t>a separate legal entity</w:t>
      </w:r>
      <w:r w:rsidRPr="00B76BFE">
        <w:rPr>
          <w:rFonts w:asciiTheme="majorHAnsi" w:hAnsiTheme="majorHAnsi"/>
        </w:rPr>
        <w:t xml:space="preserve">. This means that all legal actions taken by the </w:t>
      </w:r>
      <w:r>
        <w:rPr>
          <w:rFonts w:asciiTheme="majorHAnsi" w:hAnsiTheme="majorHAnsi"/>
        </w:rPr>
        <w:t xml:space="preserve">LLC </w:t>
      </w:r>
      <w:r w:rsidRPr="00B76BFE">
        <w:rPr>
          <w:rFonts w:asciiTheme="majorHAnsi" w:hAnsiTheme="majorHAnsi"/>
        </w:rPr>
        <w:t xml:space="preserve">are the responsibility of the </w:t>
      </w:r>
      <w:r>
        <w:rPr>
          <w:rFonts w:asciiTheme="majorHAnsi" w:hAnsiTheme="majorHAnsi"/>
        </w:rPr>
        <w:t xml:space="preserve">LLC </w:t>
      </w:r>
      <w:r w:rsidRPr="00B76BFE">
        <w:rPr>
          <w:rFonts w:asciiTheme="majorHAnsi" w:hAnsiTheme="majorHAnsi"/>
        </w:rPr>
        <w:t>itself, not the personal responsibility of shareholders or beneficial owners</w:t>
      </w:r>
      <w:r>
        <w:rPr>
          <w:rFonts w:asciiTheme="majorHAnsi" w:hAnsiTheme="majorHAnsi"/>
        </w:rPr>
        <w:t xml:space="preserve"> </w:t>
      </w:r>
      <w:r>
        <w:rPr>
          <w:rFonts w:asciiTheme="majorHAnsi" w:hAnsiTheme="majorHAnsi"/>
        </w:rPr>
        <w:fldChar w:fldCharType="begin" w:fldLock="1"/>
      </w:r>
      <w:r>
        <w:rPr>
          <w:rFonts w:asciiTheme="majorHAnsi" w:hAnsiTheme="majorHAnsi"/>
        </w:rPr>
        <w:instrText>ADDIN CSL_CITATION {"citationItems":[{"id":"ITEM-1","itemData":{"DOI":"10.59593/amlcft.2022.v1i1.28","ISSN":"2963-220X","abstract":"Seiring dengan perkembangan dunia investasi yang berwujud penanaman modal di perseroan terbatas, baik dalam negeri maupun luar negeri, maka konsep pendirian korporasi dengan tidak menampilkan Pemilik Manfaat (Beneficial Owner) atau pemilik modal yang sebenarnya, semakin marak dalam praktik-praktik bisnis. Pemilik Manfaat (Beneficial Owner) dari suatu perusahaan atau korporasi tidak selalu berkaitan dengan perbuatan pencucian uang atau tindak pidana lainnya. Akan tetapi dalam rezim anti pencucian uang, Pemilik Manfaat (Beneficial Owner) ini menjadi perhatian khusus karena seringkali dalam penegakan hukum tindak pidana pencucian uang atau tindak pidana lainnya, para Pemilik Manfaat (Beneficial Owner) ini tidak tersentuh oleh hukum. Tujuan dari penelitian yang dilakukan oleh penulis adalah bagaimana mengidentifikasi pihak-pihak yang dapat dikualifikasikan sebagai Pemilik Manfaat (Beneficial Owner) dan bagaimana pertanggungjawaban pidana dari Pemilik Manfaat (Beneficial Owner) tersebut dalam kejahatan pencucian uang dan kejahatan lainnya. Metode penelitian yang digunakan oleh penulis dalam penelitian ini adalah metode doktrinal dengan pendekatan penelaahan peraturan perundang-undangan, kasus, dan doktrin-doktrin atau pandangan para ahli. Hasil penelitian dalam tulisan ini yaitu bahwa identifikasi siapa Pemilik Manfaat (Beneficial Owner) dari suatu korporasi dapat ditemukan melalui keberadaan atau keterkaitan dalam struktur organisasi dalam korporasi, penelusuran pihak-pihak di luar korporasi yang mengendalikan korporasi, dan penelusuran aliran transaksi keuangan.","author":[{"dropping-particle":"","family":"Syakur","given":"Syahrijal","non-dropping-particle":"","parse-names":false,"suffix":""}],"container-title":"AML/CFT Journal: The Journal of Anti Money Laundering and Countering the Financing Terrorism","id":"ITEM-1","issue":"1","issued":{"date-parts":[["2022"]]},"page":"101-112","title":"Pertanggungjawaban Pidana oleh Pemilik Manfaat (Beneficial Owner) sebagai Pelaku Pencucian Uang dan Kejahatan Lainnya dalam Perseroan Terbatas","type":"article-journal","volume":"1"},"uris":["http://www.mendeley.com/documents/?uuid=5c5615db-0fe7-4b1e-b39d-37eee0e32967"]}],"mendeley":{"formattedCitation":"(Syakur 2022)","plainTextFormattedCitation":"(Syakur 2022)","previouslyFormattedCitation":"(Syakur 2022)"},"properties":{"noteIndex":0},"schema":"https://github.com/citation-style-language/schema/raw/master/csl-citation.json"}</w:instrText>
      </w:r>
      <w:r>
        <w:rPr>
          <w:rFonts w:asciiTheme="majorHAnsi" w:hAnsiTheme="majorHAnsi"/>
        </w:rPr>
        <w:fldChar w:fldCharType="separate"/>
      </w:r>
      <w:r w:rsidRPr="002F4B11">
        <w:rPr>
          <w:rFonts w:asciiTheme="majorHAnsi" w:hAnsiTheme="majorHAnsi"/>
          <w:noProof/>
        </w:rPr>
        <w:t>(Syakur 2022)</w:t>
      </w:r>
      <w:r>
        <w:rPr>
          <w:rFonts w:asciiTheme="majorHAnsi" w:hAnsiTheme="majorHAnsi"/>
        </w:rPr>
        <w:fldChar w:fldCharType="end"/>
      </w:r>
      <w:r>
        <w:rPr>
          <w:rFonts w:asciiTheme="majorHAnsi" w:hAnsiTheme="majorHAnsi"/>
        </w:rPr>
        <w:t>.</w:t>
      </w:r>
    </w:p>
    <w:p w14:paraId="2F832AF3" w14:textId="77777777" w:rsidR="00515C8B" w:rsidRDefault="004B15EE" w:rsidP="00515C8B">
      <w:pPr>
        <w:ind w:firstLine="284"/>
        <w:jc w:val="both"/>
        <w:rPr>
          <w:rFonts w:asciiTheme="majorHAnsi" w:hAnsiTheme="majorHAnsi"/>
        </w:rPr>
      </w:pPr>
      <w:r w:rsidRPr="0035050C">
        <w:rPr>
          <w:rFonts w:asciiTheme="majorHAnsi" w:hAnsiTheme="majorHAnsi"/>
        </w:rPr>
        <w:t xml:space="preserve">Nowadays, corruption crimes do not only occur to civilian officials, military officials who are members of the Indonesian National Army agencies are also involved in many corruption cases. The military is a state-authorized organization empowered to use lethal force in defending the nation from real or perceived threats. The military functions and works as societies with </w:t>
      </w:r>
      <w:r w:rsidRPr="0035050C">
        <w:rPr>
          <w:rFonts w:asciiTheme="majorHAnsi" w:hAnsiTheme="majorHAnsi"/>
          <w:i/>
          <w:iCs/>
        </w:rPr>
        <w:t>societies</w:t>
      </w:r>
      <w:r w:rsidRPr="0035050C">
        <w:rPr>
          <w:rFonts w:asciiTheme="majorHAnsi" w:hAnsiTheme="majorHAnsi"/>
        </w:rPr>
        <w:t>. Just like a military officer who is a member of the military who should be able to maintain the dignity and dignity of himself and the State and not become a corruptor, it will tarnish the dignity of the nation and state. The military has several legal systems, namely discipline, code of ethics and criminality</w:t>
      </w:r>
      <w:r>
        <w:rPr>
          <w:rFonts w:asciiTheme="majorHAnsi" w:hAnsiTheme="majorHAnsi"/>
        </w:rPr>
        <w:t xml:space="preserve"> </w:t>
      </w:r>
      <w:r>
        <w:rPr>
          <w:rFonts w:asciiTheme="majorHAnsi" w:hAnsiTheme="majorHAnsi"/>
        </w:rPr>
        <w:fldChar w:fldCharType="begin" w:fldLock="1"/>
      </w:r>
      <w:r>
        <w:rPr>
          <w:rFonts w:asciiTheme="majorHAnsi" w:hAnsiTheme="majorHAnsi"/>
        </w:rPr>
        <w:instrText>ADDIN CSL_CITATION {"citationItems":[{"id":"ITEM-1","itemData":{"DOI":"10.22225/ah.2.3.2494.404-408","ISSN":"2716-2672","abstract":"Abstrak—Militer adalah orang yang dididik, dilatih dan dipersiapkan untuk bertempur.Warga Negara Indonesia yang dilantik menjadi Militer dalam melaksanakan tugasnya selain taat kepada nilai pancasila, sapta marga dan sumpah prajurit dituntut untuk selalu taat dan patuh pada semua peraturan-peraturan perundangan yang berlaku khusus bagi Anggota Militer.Anggota Militer yang terbukti melakukan pelanggaran hukum termasuk tindak pidana korupsi harus ditindak sesuai ketentuan hukum yang berlaku.Adapun rumusan masalah (1)Bagaimanakah pemeriksaan Tindak Pidana Korupsi yang dilakukan oleh Anggota Militer? (2)Bagaimanakah kewenangan mengadili Tindak Pidana Korupsi terhadap Anggota Militer? Penelitian ini mempergunakan metode normatif, pendekatan secara perundang-undangan, pendekatan konseptual, bahan hukum primer, bahan hukum sekunder, bahan hukum tersier, studi dokumen, studi kepustakaan, studi internet serta analisis interpretasi hukum dan analisis deskriptif.Proses pemeriksaan pada pengadilan militer sebenarnya sama dengan peradilan umum, tetapi sebutan untuk penyidik dan penuntut umumnya berbeda.Dalammenemukan peradilan mana yang digunakan untuk menangani perkara koneksitas, dapat diliat dari kerugian yang diakibatkan dari perbuatan pidana tersebut.Hakim dalam menjatuhkan hukuman kepada anggota militer yang melakukan tindak pidana korupsi harus sama dengan pelaku pada pengadilan tindak pidana korupsi.\r  ","author":[{"dropping-particle":"","family":"Wijana","given":"Kadek","non-dropping-particle":"","parse-names":false,"suffix":""},{"dropping-particle":"","family":"Sepud","given":"I Made","non-dropping-particle":"","parse-names":false,"suffix":""},{"dropping-particle":"","family":"Dewi","given":"Anak Agung Sagung Laksmi","non-dropping-particle":"","parse-names":false,"suffix":""}],"container-title":"Jurnal Analogi Hukum","id":"ITEM-1","issue":"3","issued":{"date-parts":[["2020"]]},"page":"404-408","title":"Peradilan Tindak Pidana Korupsi Bagi Anggota Militer","type":"article-journal","volume":"2"},"uris":["http://www.mendeley.com/documents/?uuid=3885ef8a-5303-4969-842b-e480bdac0786"]}],"mendeley":{"formattedCitation":"(Wijana, Sepud, and Dewi 2020)","plainTextFormattedCitation":"(Wijana, Sepud, and Dewi 2020)","previouslyFormattedCitation":"(Wijana, Sepud, and Dewi 2020)"},"properties":{"noteIndex":0},"schema":"https://github.com/citation-style-language/schema/raw/master/csl-citation.json"}</w:instrText>
      </w:r>
      <w:r>
        <w:rPr>
          <w:rFonts w:asciiTheme="majorHAnsi" w:hAnsiTheme="majorHAnsi"/>
        </w:rPr>
        <w:fldChar w:fldCharType="separate"/>
      </w:r>
      <w:r w:rsidRPr="007A2371">
        <w:rPr>
          <w:rFonts w:asciiTheme="majorHAnsi" w:hAnsiTheme="majorHAnsi"/>
          <w:noProof/>
        </w:rPr>
        <w:t>(Wijana, Sepud, and Dewi 2020)</w:t>
      </w:r>
      <w:r>
        <w:rPr>
          <w:rFonts w:asciiTheme="majorHAnsi" w:hAnsiTheme="majorHAnsi"/>
        </w:rPr>
        <w:fldChar w:fldCharType="end"/>
      </w:r>
      <w:r w:rsidRPr="0035050C">
        <w:rPr>
          <w:rFonts w:asciiTheme="majorHAnsi" w:hAnsiTheme="majorHAnsi"/>
        </w:rPr>
        <w:t>. The legal system adopted by the military is a different legal system from the civilian legal system</w:t>
      </w:r>
      <w:r w:rsidR="00515C8B">
        <w:rPr>
          <w:rFonts w:asciiTheme="majorHAnsi" w:hAnsiTheme="majorHAnsi"/>
        </w:rPr>
        <w:t>.</w:t>
      </w:r>
    </w:p>
    <w:p w14:paraId="777A099B" w14:textId="77777777" w:rsidR="00515C8B" w:rsidRDefault="004B15EE" w:rsidP="00515C8B">
      <w:pPr>
        <w:ind w:firstLine="284"/>
        <w:jc w:val="both"/>
        <w:rPr>
          <w:rFonts w:asciiTheme="majorHAnsi" w:hAnsiTheme="majorHAnsi"/>
        </w:rPr>
      </w:pPr>
      <w:r w:rsidRPr="0035050C">
        <w:rPr>
          <w:rFonts w:asciiTheme="majorHAnsi" w:hAnsiTheme="majorHAnsi"/>
        </w:rPr>
        <w:t>Military Criminal Law is a form of special criminal law, distinguished by its unique characteristics from general criminal law. Special criminal law is designed for specific legal subjects or particular situations, and therefore contains provisions and principles applicable only to certain subjects. Based on these criteria, Military Criminal Law falls under the category of special criminal law, as it pertains to specific legal subjects and actions that can only be committed by particular individuals. This is explicitly governed by Law Number 31 of 1997 concerning the Military Courts (hereinafter referred to as Law No. 31/1997), which confers jurisdiction upon military tribunals to adjudicate criminal offenses committed by individuals who were members of the Indonesian National Armed Forces (TNI) at the time the offenses were perpetrated. The purpose of this is to ensure that law enforcement and justice within the military adhere to the principles outlined in Law Number 48 of 2009 on Judicial Power, which mandates that the judiciary up hold law and justice based on Pancasila, in alignment with the legal framework of the Republic of Indonesia</w:t>
      </w:r>
      <w:r>
        <w:rPr>
          <w:rFonts w:asciiTheme="majorHAnsi" w:hAnsiTheme="majorHAnsi"/>
        </w:rPr>
        <w:t xml:space="preserve"> </w:t>
      </w:r>
      <w:r>
        <w:rPr>
          <w:rFonts w:asciiTheme="majorHAnsi" w:hAnsiTheme="majorHAnsi"/>
        </w:rPr>
        <w:fldChar w:fldCharType="begin" w:fldLock="1"/>
      </w:r>
      <w:r>
        <w:rPr>
          <w:rFonts w:asciiTheme="majorHAnsi" w:hAnsiTheme="majorHAnsi"/>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Kata","author":[{"dropping-particle":"","family":"Ramadhani","given":"Putri Rizka","non-dropping-particle":"","parse-names":false,"suffix":""},{"dropping-particle":"","family":"Hutagalung","given":"Shandy Angelica Elizabeth","non-dropping-particle":"","parse-names":false,"suffix":""}],"id":"ITEM-1","issue":"April","issued":{"date-parts":[["2016"]]},"page":"1-23","title":"PENERAPAN PRINSIP MENGENALI PEMILIK MANFAAT PERSEROAN TERBATAS TERTUTUP (STUDI PERBANDINGAN: SINGAPURA DAN INDONESIA)","type":"article-journal","volume":"2"},"uris":["http://www.mendeley.com/documents/?uuid=8166b947-425c-4db4-84ec-6c42ab79b57b"]}],"mendeley":{"formattedCitation":"(Ramadhani and Hutagalung 2016)","plainTextFormattedCitation":"(Ramadhani and Hutagalung 2016)","previouslyFormattedCitation":"(Ramadhani and Hutagalung 2016)"},"properties":{"noteIndex":0},"schema":"https://github.com/citation-style-language/schema/raw/master/csl-citation.json"}</w:instrText>
      </w:r>
      <w:r>
        <w:rPr>
          <w:rFonts w:asciiTheme="majorHAnsi" w:hAnsiTheme="majorHAnsi"/>
        </w:rPr>
        <w:fldChar w:fldCharType="separate"/>
      </w:r>
      <w:r w:rsidRPr="007A2371">
        <w:rPr>
          <w:rFonts w:asciiTheme="majorHAnsi" w:hAnsiTheme="majorHAnsi"/>
          <w:noProof/>
        </w:rPr>
        <w:t>(Ramadhani and Hutagalung 2016)</w:t>
      </w:r>
      <w:r>
        <w:rPr>
          <w:rFonts w:asciiTheme="majorHAnsi" w:hAnsiTheme="majorHAnsi"/>
        </w:rPr>
        <w:fldChar w:fldCharType="end"/>
      </w:r>
      <w:r w:rsidRPr="0035050C">
        <w:rPr>
          <w:rFonts w:asciiTheme="majorHAnsi" w:hAnsiTheme="majorHAnsi"/>
        </w:rPr>
        <w:t>.</w:t>
      </w:r>
    </w:p>
    <w:p w14:paraId="0015321C" w14:textId="77777777" w:rsidR="00515C8B" w:rsidRDefault="004B15EE" w:rsidP="00515C8B">
      <w:pPr>
        <w:ind w:firstLine="284"/>
        <w:jc w:val="both"/>
        <w:rPr>
          <w:rFonts w:asciiTheme="majorHAnsi" w:hAnsiTheme="majorHAnsi"/>
        </w:rPr>
      </w:pPr>
      <w:r w:rsidRPr="0035050C">
        <w:rPr>
          <w:rFonts w:asciiTheme="majorHAnsi" w:hAnsiTheme="majorHAnsi"/>
        </w:rPr>
        <w:t>However, within the Military Justice Law, there are certain provisions that no longer align with societal developments, necessitating changes, particularly concerning the jurisdiction of military courts over TNI members involved in corruption</w:t>
      </w:r>
      <w:r>
        <w:rPr>
          <w:rFonts w:asciiTheme="majorHAnsi" w:hAnsiTheme="majorHAnsi"/>
        </w:rPr>
        <w:t xml:space="preserve"> </w:t>
      </w:r>
      <w:r>
        <w:rPr>
          <w:rFonts w:asciiTheme="majorHAnsi" w:hAnsiTheme="majorHAnsi"/>
        </w:rPr>
        <w:fldChar w:fldCharType="begin" w:fldLock="1"/>
      </w:r>
      <w:r>
        <w:rPr>
          <w:rFonts w:asciiTheme="majorHAnsi" w:hAnsiTheme="majorHAnsi"/>
        </w:rPr>
        <w:instrText>ADDIN CSL_CITATION {"citationItems":[{"id":"ITEM-1","itemData":{"author":[{"dropping-particle":"","family":"Dewi","given":"Vania Oktaviani","non-dropping-particle":"","parse-names":false,"suffix":""},{"dropping-particle":"","family":"Triadi","given":"Irwan","non-dropping-particle":"","parse-names":false,"suffix":""}],"container-title":"Hakim: Jurnal Ilmu Hukum dan Sosial","id":"ITEM-1","issue":"4","issued":{"date-parts":[["2023"]]},"page":"197","title":"Penyelesaian Tindak Pidana Korupsi oleh Subjek Militer saat sedang Menduduki Jabatan Sipil","type":"article-journal","volume":"1"},"uris":["http://www.mendeley.com/documents/?uuid=025ed573-8690-4680-a441-f2a9a45f0692"]}],"mendeley":{"formattedCitation":"(Dewi and Triadi 2023)","plainTextFormattedCitation":"(Dewi and Triadi 2023)","previouslyFormattedCitation":"(Dewi and Triadi 2023)"},"properties":{"noteIndex":0},"schema":"https://github.com/citation-style-language/schema/raw/master/csl-citation.json"}</w:instrText>
      </w:r>
      <w:r>
        <w:rPr>
          <w:rFonts w:asciiTheme="majorHAnsi" w:hAnsiTheme="majorHAnsi"/>
        </w:rPr>
        <w:fldChar w:fldCharType="separate"/>
      </w:r>
      <w:r w:rsidRPr="007A2371">
        <w:rPr>
          <w:rFonts w:asciiTheme="majorHAnsi" w:hAnsiTheme="majorHAnsi"/>
          <w:noProof/>
        </w:rPr>
        <w:t>(Dewi and Triadi 2023)</w:t>
      </w:r>
      <w:r>
        <w:rPr>
          <w:rFonts w:asciiTheme="majorHAnsi" w:hAnsiTheme="majorHAnsi"/>
        </w:rPr>
        <w:fldChar w:fldCharType="end"/>
      </w:r>
      <w:r w:rsidRPr="0035050C">
        <w:rPr>
          <w:rFonts w:asciiTheme="majorHAnsi" w:hAnsiTheme="majorHAnsi"/>
        </w:rPr>
        <w:t>. Currently, the Military Justice Law grants authority to military courts to prosecute TNI members for military crimes as specified in the law, but not for offenses outside its scope. In practice, however, military courts also handle cases of crimes not explicitly covered by the Military Justice Law, such as prosecuting TNI members for corruption. In these cases, the applicable legal reference used during the trial is Law Number 31 of 1999, as amended by Law Number 20 of 2001, regarding the Eradication of Corruption</w:t>
      </w:r>
      <w:r>
        <w:rPr>
          <w:rFonts w:asciiTheme="majorHAnsi" w:hAnsiTheme="majorHAnsi"/>
        </w:rPr>
        <w:t xml:space="preserve"> </w:t>
      </w:r>
      <w:r>
        <w:rPr>
          <w:rFonts w:asciiTheme="majorHAnsi" w:hAnsiTheme="majorHAnsi"/>
        </w:rPr>
        <w:fldChar w:fldCharType="begin" w:fldLock="1"/>
      </w:r>
      <w:r>
        <w:rPr>
          <w:rFonts w:asciiTheme="majorHAnsi" w:hAnsiTheme="majorHAnsi"/>
        </w:rPr>
        <w:instrText>ADDIN CSL_CITATION {"citationItems":[{"id":"ITEM-1","itemData":{"author":[{"dropping-particle":"","family":"Hukum","given":"Fakultas","non-dropping-particle":"","parse-names":false,"suffix":""},{"dropping-particle":"","family":"Cokroaminoto","given":"Universitas","non-dropping-particle":"","parse-names":false,"suffix":""}],"id":"ITEM-1","issue":"Vii","issued":{"date-parts":[["0"]]},"title":"MENGADILI TINDAK PIDANA KORUPSI YANG DILAKUKAN OLEH ANGGOTA MILITER BERSAMA-SAMA DENGAN ORANG SIPIL Jalan Perintis Kemerdekaan , Kec . Umbulharjo , Kota Yogyakarta , Email : edy36013@gmail.com","type":"article-journal"},"uris":["http://www.mendeley.com/documents/?uuid=0b6a106a-fdf4-4ed0-9ad5-957308fa3aed"]}],"mendeley":{"formattedCitation":"(Hukum and Cokroaminoto n.d.)","plainTextFormattedCitation":"(Hukum and Cokroaminoto n.d.)","previouslyFormattedCitation":"(Hukum and Cokroaminoto n.d.)"},"properties":{"noteIndex":0},"schema":"https://github.com/citation-style-language/schema/raw/master/csl-citation.json"}</w:instrText>
      </w:r>
      <w:r>
        <w:rPr>
          <w:rFonts w:asciiTheme="majorHAnsi" w:hAnsiTheme="majorHAnsi"/>
        </w:rPr>
        <w:fldChar w:fldCharType="separate"/>
      </w:r>
      <w:r w:rsidRPr="007A2371">
        <w:rPr>
          <w:rFonts w:asciiTheme="majorHAnsi" w:hAnsiTheme="majorHAnsi"/>
          <w:noProof/>
        </w:rPr>
        <w:t>(Hukum and Cokroaminoto n.d.)</w:t>
      </w:r>
      <w:r>
        <w:rPr>
          <w:rFonts w:asciiTheme="majorHAnsi" w:hAnsiTheme="majorHAnsi"/>
        </w:rPr>
        <w:fldChar w:fldCharType="end"/>
      </w:r>
      <w:r w:rsidRPr="0035050C">
        <w:rPr>
          <w:rFonts w:asciiTheme="majorHAnsi" w:hAnsiTheme="majorHAnsi"/>
        </w:rPr>
        <w:t>.</w:t>
      </w:r>
    </w:p>
    <w:p w14:paraId="48F03EC4" w14:textId="77777777" w:rsidR="00515C8B" w:rsidRDefault="004B15EE" w:rsidP="00515C8B">
      <w:pPr>
        <w:ind w:firstLine="284"/>
        <w:jc w:val="both"/>
        <w:rPr>
          <w:rFonts w:asciiTheme="majorHAnsi" w:hAnsiTheme="majorHAnsi"/>
        </w:rPr>
      </w:pPr>
      <w:r w:rsidRPr="0035050C">
        <w:rPr>
          <w:rFonts w:asciiTheme="majorHAnsi" w:hAnsiTheme="majorHAnsi"/>
        </w:rPr>
        <w:t>For example, the case of corruption in the procurement of the main equipment of the weapon system (hereinafter referred to as Alutsista). Case of corruption in the military domain involving active TNI officers is the case of the convicted Brigadier General of the TNI (Retired) Teddy Hernayadi when he served as the head of the Financing Implementation Division of the Ministry of Defense at the Ministry of Defense (Kemenhan) 2010-2014. Teddy was rewarded with almost the same sentence from the Jakarta Military Court II, the court of first instance to the cassation at the Supreme Court (MA), namely life imprisonment. The case of alleged corruption in the procurement of Agusta Westland 101 (AW-101) VVIP helicopters worth Rp 738 billion in the 2016 fiscal year at the Indonesian Air Force in 2016-2017. The KPK has named Irfan Kurnia Saleh as a suspect. Meanwhile, Puspom has named four suspects. First, Deputy Governor of the Air Force Academy First Marshal Fachri Adamy as a suspect. The appointment of Fachri in his capacity as a commitment-making official or Chief of Procurement Staff of the Indonesian Air Force 2016-2017. Conventional law enforcement in combating corruption has encountered numerous challenges, particularly in addressing corruption within the armed forces. Therefore, an extraordinary approach is required, involving the establishment of a special body with extensive authority, independence, and freedom from external influence. This body would focus on eradicating corruption in a manner that is optimal, intensive, effective, professional, and sustained. Based on the school of positivism, the law teaches that the law arises from an authorized power. Authority here in the sense of competence</w:t>
      </w:r>
      <w:r>
        <w:rPr>
          <w:rFonts w:asciiTheme="majorHAnsi" w:hAnsiTheme="majorHAnsi"/>
        </w:rPr>
        <w:t xml:space="preserve"> </w:t>
      </w:r>
      <w:r>
        <w:rPr>
          <w:rFonts w:asciiTheme="majorHAnsi" w:hAnsiTheme="majorHAnsi"/>
        </w:rPr>
        <w:fldChar w:fldCharType="begin" w:fldLock="1"/>
      </w:r>
      <w:r>
        <w:rPr>
          <w:rFonts w:asciiTheme="majorHAnsi" w:hAnsiTheme="majorHAnsi"/>
        </w:rPr>
        <w:instrText>ADDIN CSL_CITATION {"citationItems":[{"id":"ITEM-1","itemData":{"author":[{"dropping-particle":"","family":"Badu","given":"Lisnawaty W","non-dropping-particle":"","parse-names":false,"suffix":""},{"dropping-particle":"","family":"Apripari","given":"","non-dropping-particle":"","parse-names":false,"suffix":""}],"container-title":"Jurnal Legalitas","id":"ITEM-1","issue":"1","issued":{"date-parts":[["2022"]]},"page":"57-81","title":"Menggagas Tindak Pidana Militer Sebagai Kompetensi Absolut Peradilan Militer Dalam Perkara Pidana \"Initiating Military Criminal Acts As A Competence Of Military Justice Absolute In Criminal Crime\"","type":"article-journal","volume":"12"},"uris":["http://www.mendeley.com/documents/?uuid=7583ddbe-a638-4bdb-802d-688e3f7123bc"]}],"mendeley":{"formattedCitation":"(Badu and Apripari 2022)","plainTextFormattedCitation":"(Badu and Apripari 2022)","previouslyFormattedCitation":"(Badu and Apripari 2022)"},"properties":{"noteIndex":0},"schema":"https://github.com/citation-style-language/schema/raw/master/csl-citation.json"}</w:instrText>
      </w:r>
      <w:r>
        <w:rPr>
          <w:rFonts w:asciiTheme="majorHAnsi" w:hAnsiTheme="majorHAnsi"/>
        </w:rPr>
        <w:fldChar w:fldCharType="separate"/>
      </w:r>
      <w:r w:rsidRPr="007A2371">
        <w:rPr>
          <w:rFonts w:asciiTheme="majorHAnsi" w:hAnsiTheme="majorHAnsi"/>
          <w:noProof/>
        </w:rPr>
        <w:t>(Badu and Apripari 2022)</w:t>
      </w:r>
      <w:r>
        <w:rPr>
          <w:rFonts w:asciiTheme="majorHAnsi" w:hAnsiTheme="majorHAnsi"/>
        </w:rPr>
        <w:fldChar w:fldCharType="end"/>
      </w:r>
      <w:r w:rsidRPr="0035050C">
        <w:rPr>
          <w:rFonts w:asciiTheme="majorHAnsi" w:hAnsiTheme="majorHAnsi"/>
        </w:rPr>
        <w:t>.</w:t>
      </w:r>
    </w:p>
    <w:p w14:paraId="3777F271" w14:textId="0F9CA99A" w:rsidR="00515C8B" w:rsidRDefault="004B15EE" w:rsidP="00515C8B">
      <w:pPr>
        <w:ind w:firstLine="284"/>
        <w:jc w:val="both"/>
        <w:rPr>
          <w:rFonts w:asciiTheme="majorHAnsi" w:hAnsiTheme="majorHAnsi"/>
        </w:rPr>
      </w:pPr>
      <w:r w:rsidRPr="0035050C">
        <w:rPr>
          <w:rFonts w:asciiTheme="majorHAnsi" w:hAnsiTheme="majorHAnsi"/>
        </w:rPr>
        <w:lastRenderedPageBreak/>
        <w:t>The extraordinary authority possessed by the KPK institution in tackling corruption crimes has reaped pros and cons in various circles, one of which is related to the authority of the KPK in investigating corruption in the procurement of defense equipment involving TNI personnel in conflict with the oath of soldiers who must maintain secrecy and obey their superiors and the Military Justice Law</w:t>
      </w:r>
      <w:r>
        <w:rPr>
          <w:rFonts w:asciiTheme="majorHAnsi" w:hAnsiTheme="majorHAnsi"/>
        </w:rPr>
        <w:t xml:space="preserve"> </w:t>
      </w:r>
      <w:r>
        <w:rPr>
          <w:rFonts w:asciiTheme="majorHAnsi" w:hAnsiTheme="majorHAnsi"/>
        </w:rPr>
        <w:fldChar w:fldCharType="begin" w:fldLock="1"/>
      </w:r>
      <w:r>
        <w:rPr>
          <w:rFonts w:asciiTheme="majorHAnsi" w:hAnsiTheme="majorHAnsi"/>
        </w:rPr>
        <w:instrText>ADDIN CSL_CITATION {"citationItems":[{"id":"ITEM-1","itemData":{"author":[{"dropping-particle":"","family":"Hukum","given":"Fakultas","non-dropping-particle":"","parse-names":false,"suffix":""},{"dropping-particle":"","family":"Cokroaminoto","given":"Universitas","non-dropping-particle":"","parse-names":false,"suffix":""}],"id":"ITEM-1","issue":"Vii","issued":{"date-parts":[["0"]]},"title":"MENGADILI TINDAK PIDANA KORUPSI YANG DILAKUKAN OLEH ANGGOTA MILITER BERSAMA-SAMA DENGAN ORANG SIPIL Jalan Perintis Kemerdekaan , Kec . Umbulharjo , Kota Yogyakarta , Email : edy36013@gmail.com","type":"article-journal"},"uris":["http://www.mendeley.com/documents/?uuid=0b6a106a-fdf4-4ed0-9ad5-957308fa3aed"]}],"mendeley":{"formattedCitation":"(Hukum and Cokroaminoto n.d.)","plainTextFormattedCitation":"(Hukum and Cokroaminoto n.d.)","previouslyFormattedCitation":"(Hukum and Cokroaminoto n.d.)"},"properties":{"noteIndex":0},"schema":"https://github.com/citation-style-language/schema/raw/master/csl-citation.json"}</w:instrText>
      </w:r>
      <w:r>
        <w:rPr>
          <w:rFonts w:asciiTheme="majorHAnsi" w:hAnsiTheme="majorHAnsi"/>
        </w:rPr>
        <w:fldChar w:fldCharType="separate"/>
      </w:r>
      <w:r w:rsidRPr="007A2371">
        <w:rPr>
          <w:rFonts w:asciiTheme="majorHAnsi" w:hAnsiTheme="majorHAnsi"/>
          <w:noProof/>
        </w:rPr>
        <w:t>(Hukum and Cokroaminoto n.d.)</w:t>
      </w:r>
      <w:r>
        <w:rPr>
          <w:rFonts w:asciiTheme="majorHAnsi" w:hAnsiTheme="majorHAnsi"/>
        </w:rPr>
        <w:fldChar w:fldCharType="end"/>
      </w:r>
      <w:r w:rsidRPr="0035050C">
        <w:rPr>
          <w:rFonts w:asciiTheme="majorHAnsi" w:hAnsiTheme="majorHAnsi"/>
        </w:rPr>
        <w:t>. Based on the provisions of Article 9 paragraph (1) of Law Number 31 of 1997 concerning Military Courts, it reads "Courts within the military court have the authority to judge criminal acts carried out by an individual at the time of their commission. the criminal act was a soldier".</w:t>
      </w:r>
    </w:p>
    <w:p w14:paraId="63D3C515" w14:textId="77777777" w:rsidR="00515C8B" w:rsidRDefault="004B15EE" w:rsidP="00515C8B">
      <w:pPr>
        <w:ind w:firstLine="284"/>
        <w:jc w:val="both"/>
        <w:rPr>
          <w:rFonts w:asciiTheme="majorHAnsi" w:hAnsiTheme="majorHAnsi"/>
        </w:rPr>
      </w:pPr>
      <w:r w:rsidRPr="0035050C">
        <w:rPr>
          <w:rFonts w:asciiTheme="majorHAnsi" w:hAnsiTheme="majorHAnsi"/>
        </w:rPr>
        <w:t>Corruption crimes involving TNI Soldiers So far, in the military criminal justice system, the right to conduct investigations, investigations, and prosecutions comes from within the military itself, namely the Military Police (POM) and/or through connection investigations. This system requires collaboration between civil law enforcement (KPK) and the military. In such conditions, the KPK is often inferior to the military, especially in the process of investigation, investigation and prosecution. In this connectivity system, the KPK institution in investigating corruption cases in the TNI often has a minimal role</w:t>
      </w:r>
      <w:r>
        <w:rPr>
          <w:rFonts w:asciiTheme="majorHAnsi" w:hAnsiTheme="majorHAnsi"/>
        </w:rPr>
        <w:t xml:space="preserve"> </w:t>
      </w:r>
      <w:r>
        <w:rPr>
          <w:rFonts w:asciiTheme="majorHAnsi" w:hAnsiTheme="majorHAnsi"/>
        </w:rPr>
        <w:fldChar w:fldCharType="begin" w:fldLock="1"/>
      </w:r>
      <w:r>
        <w:rPr>
          <w:rFonts w:asciiTheme="majorHAnsi" w:hAnsiTheme="majorHAnsi"/>
        </w:rPr>
        <w:instrText>ADDIN CSL_CITATION {"citationItems":[{"id":"ITEM-1","itemData":{"author":[{"dropping-particle":"","family":"Badu","given":"Lisnawaty W","non-dropping-particle":"","parse-names":false,"suffix":""},{"dropping-particle":"","family":"Apripari","given":"","non-dropping-particle":"","parse-names":false,"suffix":""}],"container-title":"Jurnal Legalitas","id":"ITEM-1","issue":"1","issued":{"date-parts":[["2022"]]},"page":"57-81","title":"Menggagas Tindak Pidana Militer Sebagai Kompetensi Absolut Peradilan Militer Dalam Perkara Pidana \"Initiating Military Criminal Acts As A Competence Of Military Justice Absolute In Criminal Crime\"","type":"article-journal","volume":"12"},"uris":["http://www.mendeley.com/documents/?uuid=7583ddbe-a638-4bdb-802d-688e3f7123bc"]}],"mendeley":{"formattedCitation":"(Badu and Apripari 2022)","plainTextFormattedCitation":"(Badu and Apripari 2022)","previouslyFormattedCitation":"(Badu and Apripari 2022)"},"properties":{"noteIndex":0},"schema":"https://github.com/citation-style-language/schema/raw/master/csl-citation.json"}</w:instrText>
      </w:r>
      <w:r>
        <w:rPr>
          <w:rFonts w:asciiTheme="majorHAnsi" w:hAnsiTheme="majorHAnsi"/>
        </w:rPr>
        <w:fldChar w:fldCharType="separate"/>
      </w:r>
      <w:r w:rsidRPr="007A2371">
        <w:rPr>
          <w:rFonts w:asciiTheme="majorHAnsi" w:hAnsiTheme="majorHAnsi"/>
          <w:noProof/>
        </w:rPr>
        <w:t>(Badu and Apripari 2022)</w:t>
      </w:r>
      <w:r>
        <w:rPr>
          <w:rFonts w:asciiTheme="majorHAnsi" w:hAnsiTheme="majorHAnsi"/>
        </w:rPr>
        <w:fldChar w:fldCharType="end"/>
      </w:r>
      <w:r w:rsidRPr="0035050C">
        <w:rPr>
          <w:rFonts w:asciiTheme="majorHAnsi" w:hAnsiTheme="majorHAnsi"/>
        </w:rPr>
        <w:t>.</w:t>
      </w:r>
    </w:p>
    <w:p w14:paraId="53A80365" w14:textId="18F400EA" w:rsidR="004B15EE" w:rsidRPr="0035050C" w:rsidRDefault="004B15EE" w:rsidP="00515C8B">
      <w:pPr>
        <w:ind w:firstLine="284"/>
        <w:jc w:val="both"/>
        <w:rPr>
          <w:rFonts w:asciiTheme="majorHAnsi" w:hAnsiTheme="majorHAnsi"/>
        </w:rPr>
      </w:pPr>
      <w:r w:rsidRPr="0035050C">
        <w:rPr>
          <w:rFonts w:asciiTheme="majorHAnsi" w:hAnsiTheme="majorHAnsi"/>
        </w:rPr>
        <w:t>This regulation is of course more specifically applied to TNI soldiers where the laws and regulations in question are harsher and heavier in addition to the existing general laws and regulations. The special laws and regulations are the Military Criminal Law and the Military Criminal Procedure Law. Both laws are classified as special laws that are specifically applicable to a certain group TNI, or to specific individuals, as outlined in the corresponding regulations. Article 1 of the Criminal Code reads: the application of this Code, general criminal provisions apply, including Chapter Nine of the first book of the Criminal Code, unless there are irregularities stipulated by the Law. The presence of military criminal law does not imply that general criminal law is inapplicable to the military. Instead, both general criminal law and military criminal law apply to military personnel. If viewed from a justifiable point of view, in this case the military and the equivalent, the Military Criminal Law is one of the criminal laws that specifically applies to the military and that is equated in addition to the application of other criminal laws, both general and special</w:t>
      </w:r>
      <w:r>
        <w:rPr>
          <w:rFonts w:asciiTheme="majorHAnsi" w:hAnsiTheme="majorHAnsi"/>
        </w:rPr>
        <w:t xml:space="preserve"> </w:t>
      </w:r>
      <w:r>
        <w:rPr>
          <w:rFonts w:asciiTheme="majorHAnsi" w:hAnsiTheme="majorHAnsi"/>
        </w:rPr>
        <w:fldChar w:fldCharType="begin" w:fldLock="1"/>
      </w:r>
      <w:r>
        <w:rPr>
          <w:rFonts w:asciiTheme="majorHAnsi" w:hAnsiTheme="majorHAnsi"/>
        </w:rPr>
        <w:instrText>ADDIN CSL_CITATION {"citationItems":[{"id":"ITEM-1","itemData":{"DOI":"10.22225/ah.2.3.2494.404-408","ISSN":"2716-2672","abstract":"Abstrak—Militer adalah orang yang dididik, dilatih dan dipersiapkan untuk bertempur.Warga Negara Indonesia yang dilantik menjadi Militer dalam melaksanakan tugasnya selain taat kepada nilai pancasila, sapta marga dan sumpah prajurit dituntut untuk selalu taat dan patuh pada semua peraturan-peraturan perundangan yang berlaku khusus bagi Anggota Militer.Anggota Militer yang terbukti melakukan pelanggaran hukum termasuk tindak pidana korupsi harus ditindak sesuai ketentuan hukum yang berlaku.Adapun rumusan masalah (1)Bagaimanakah pemeriksaan Tindak Pidana Korupsi yang dilakukan oleh Anggota Militer? (2)Bagaimanakah kewenangan mengadili Tindak Pidana Korupsi terhadap Anggota Militer? Penelitian ini mempergunakan metode normatif, pendekatan secara perundang-undangan, pendekatan konseptual, bahan hukum primer, bahan hukum sekunder, bahan hukum tersier, studi dokumen, studi kepustakaan, studi internet serta analisis interpretasi hukum dan analisis deskriptif.Proses pemeriksaan pada pengadilan militer sebenarnya sama dengan peradilan umum, tetapi sebutan untuk penyidik dan penuntut umumnya berbeda.Dalammenemukan peradilan mana yang digunakan untuk menangani perkara koneksitas, dapat diliat dari kerugian yang diakibatkan dari perbuatan pidana tersebut.Hakim dalam menjatuhkan hukuman kepada anggota militer yang melakukan tindak pidana korupsi harus sama dengan pelaku pada pengadilan tindak pidana korupsi.\r  ","author":[{"dropping-particle":"","family":"Wijana","given":"Kadek","non-dropping-particle":"","parse-names":false,"suffix":""},{"dropping-particle":"","family":"Sepud","given":"I Made","non-dropping-particle":"","parse-names":false,"suffix":""},{"dropping-particle":"","family":"Dewi","given":"Anak Agung Sagung Laksmi","non-dropping-particle":"","parse-names":false,"suffix":""}],"container-title":"Jurnal Analogi Hukum","id":"ITEM-1","issue":"3","issued":{"date-parts":[["2020"]]},"page":"404-408","title":"Peradilan Tindak Pidana Korupsi Bagi Anggota Militer","type":"article-journal","volume":"2"},"uris":["http://www.mendeley.com/documents/?uuid=3885ef8a-5303-4969-842b-e480bdac0786"]}],"mendeley":{"formattedCitation":"(Wijana et al. 2020)","plainTextFormattedCitation":"(Wijana et al. 2020)","previouslyFormattedCitation":"(Wijana et al. 2020)"},"properties":{"noteIndex":0},"schema":"https://github.com/citation-style-language/schema/raw/master/csl-citation.json"}</w:instrText>
      </w:r>
      <w:r>
        <w:rPr>
          <w:rFonts w:asciiTheme="majorHAnsi" w:hAnsiTheme="majorHAnsi"/>
        </w:rPr>
        <w:fldChar w:fldCharType="separate"/>
      </w:r>
      <w:r w:rsidRPr="007A2371">
        <w:rPr>
          <w:rFonts w:asciiTheme="majorHAnsi" w:hAnsiTheme="majorHAnsi"/>
          <w:noProof/>
        </w:rPr>
        <w:t>(Wijana et al. 2020)</w:t>
      </w:r>
      <w:r>
        <w:rPr>
          <w:rFonts w:asciiTheme="majorHAnsi" w:hAnsiTheme="majorHAnsi"/>
        </w:rPr>
        <w:fldChar w:fldCharType="end"/>
      </w:r>
      <w:r w:rsidRPr="0035050C">
        <w:rPr>
          <w:rFonts w:asciiTheme="majorHAnsi" w:hAnsiTheme="majorHAnsi"/>
        </w:rPr>
        <w:t xml:space="preserve">. </w:t>
      </w:r>
    </w:p>
    <w:p w14:paraId="37B5A6FA" w14:textId="77777777" w:rsidR="00D9191F" w:rsidRDefault="00D9191F" w:rsidP="00CA69D1">
      <w:pPr>
        <w:rPr>
          <w:rFonts w:asciiTheme="majorHAnsi" w:hAnsiTheme="majorHAnsi"/>
          <w:lang w:val="id-ID"/>
        </w:rPr>
      </w:pPr>
    </w:p>
    <w:p w14:paraId="1E102693" w14:textId="665721B9" w:rsidR="00425F0C" w:rsidRPr="00344055" w:rsidRDefault="00425F0C" w:rsidP="00425F0C">
      <w:pPr>
        <w:ind w:left="284" w:hanging="284"/>
        <w:rPr>
          <w:rFonts w:ascii="Cambria" w:hAnsi="Cambria"/>
          <w:b/>
          <w:bCs/>
          <w:sz w:val="24"/>
          <w:szCs w:val="24"/>
          <w:lang w:val="id-ID"/>
        </w:rPr>
      </w:pPr>
      <w:r w:rsidRPr="00344055">
        <w:rPr>
          <w:rFonts w:ascii="Cambria" w:hAnsi="Cambria"/>
          <w:b/>
          <w:bCs/>
          <w:sz w:val="24"/>
          <w:szCs w:val="24"/>
          <w:lang w:val="id-ID"/>
        </w:rPr>
        <w:t>Materials and Methods</w:t>
      </w:r>
    </w:p>
    <w:p w14:paraId="6CA487FA" w14:textId="77777777" w:rsidR="00425F0C" w:rsidRDefault="00425F0C" w:rsidP="00425F0C">
      <w:pPr>
        <w:ind w:left="284" w:firstLine="284"/>
        <w:jc w:val="both"/>
        <w:rPr>
          <w:rFonts w:asciiTheme="majorHAnsi" w:hAnsiTheme="majorHAnsi"/>
          <w:lang w:val="id-ID"/>
        </w:rPr>
      </w:pPr>
    </w:p>
    <w:p w14:paraId="1E23065B" w14:textId="7493D4F5" w:rsidR="00515C8B" w:rsidRPr="00515C8B" w:rsidRDefault="00515C8B" w:rsidP="00515C8B">
      <w:pPr>
        <w:ind w:firstLine="284"/>
        <w:jc w:val="both"/>
        <w:rPr>
          <w:rFonts w:asciiTheme="majorHAnsi" w:hAnsiTheme="majorHAnsi"/>
        </w:rPr>
      </w:pPr>
      <w:r w:rsidRPr="00515C8B">
        <w:rPr>
          <w:rFonts w:asciiTheme="majorHAnsi" w:eastAsia="Cambria" w:hAnsiTheme="majorHAnsi" w:cs="Cambria"/>
        </w:rPr>
        <w:t xml:space="preserve">This study employs a normative juridical method, utilizing both a conceptual approach and a statutory approach. The normative juridical method focuses on analyzing legal principles, rules, and doctrines as they are outlined in legislation and relevant legal texts. The conceptual approach is used to explore the theoretical framework and underlying legal concepts, while the statutory approach examines the specific laws and regulations governing the issue under study. Together, these approaches provide a comprehensive analysis of the legal aspects of the topic </w:t>
      </w:r>
      <w:r w:rsidRPr="00515C8B">
        <w:rPr>
          <w:rFonts w:asciiTheme="majorHAnsi" w:eastAsia="Cambria" w:hAnsiTheme="majorHAnsi" w:cs="Cambria"/>
        </w:rPr>
        <w:fldChar w:fldCharType="begin" w:fldLock="1"/>
      </w:r>
      <w:r w:rsidRPr="00515C8B">
        <w:rPr>
          <w:rFonts w:asciiTheme="majorHAnsi" w:eastAsia="Cambria" w:hAnsiTheme="majorHAnsi" w:cs="Cambria"/>
        </w:rPr>
        <w:instrText>ADDIN CSL_CITATION {"citationItems":[{"id":"ITEM-1","itemData":{"author":[{"dropping-particle":"","family":"Peter Mahmud Marzuki","given":"","non-dropping-particle":"","parse-names":false,"suffix":""}],"id":"ITEM-1","issued":{"date-parts":[["2016"]]},"title":"Metode Penelitian Hukum","type":"book"},"uris":["http://www.mendeley.com/documents/?uuid=175001e5-0403-3ccd-8807-be599c66c380"]}],"mendeley":{"formattedCitation":"(Peter Mahmud Marzuki 2016)","plainTextFormattedCitation":"(Peter Mahmud Marzuki 2016)","previouslyFormattedCitation":"(Peter Mahmud Marzuki 2016)"},"properties":{"noteIndex":0},"schema":"https://github.com/citation-style-language/schema/raw/master/csl-citation.json"}</w:instrText>
      </w:r>
      <w:r w:rsidRPr="00515C8B">
        <w:rPr>
          <w:rFonts w:asciiTheme="majorHAnsi" w:eastAsia="Cambria" w:hAnsiTheme="majorHAnsi" w:cs="Cambria"/>
        </w:rPr>
        <w:fldChar w:fldCharType="separate"/>
      </w:r>
      <w:r w:rsidRPr="00515C8B">
        <w:rPr>
          <w:rFonts w:asciiTheme="majorHAnsi" w:eastAsia="Cambria" w:hAnsiTheme="majorHAnsi" w:cs="Cambria"/>
          <w:noProof/>
        </w:rPr>
        <w:t>(Peter Mahmud Marzuki 2016)</w:t>
      </w:r>
      <w:r w:rsidRPr="00515C8B">
        <w:rPr>
          <w:rFonts w:asciiTheme="majorHAnsi" w:eastAsia="Cambria" w:hAnsiTheme="majorHAnsi" w:cs="Cambria"/>
        </w:rPr>
        <w:fldChar w:fldCharType="end"/>
      </w:r>
      <w:r w:rsidRPr="00515C8B">
        <w:rPr>
          <w:rFonts w:asciiTheme="majorHAnsi" w:eastAsia="Cambria" w:hAnsiTheme="majorHAnsi" w:cs="Cambria"/>
        </w:rPr>
        <w:t>.</w:t>
      </w:r>
    </w:p>
    <w:p w14:paraId="79E0827B" w14:textId="77777777" w:rsidR="00CA69D1" w:rsidRDefault="00CA69D1" w:rsidP="00515C8B">
      <w:pPr>
        <w:spacing w:line="276" w:lineRule="auto"/>
        <w:jc w:val="both"/>
        <w:rPr>
          <w:rFonts w:ascii="Cambria" w:eastAsia="Cambria" w:hAnsi="Cambria" w:cs="Cambria"/>
          <w:color w:val="0000CC"/>
        </w:rPr>
      </w:pPr>
    </w:p>
    <w:p w14:paraId="376030B0" w14:textId="4A037CB9" w:rsidR="00425F0C" w:rsidRPr="00344055" w:rsidRDefault="00425F0C" w:rsidP="00AE649C">
      <w:pPr>
        <w:ind w:left="284" w:hanging="284"/>
        <w:rPr>
          <w:rFonts w:ascii="Cambria" w:hAnsi="Cambria"/>
          <w:b/>
          <w:bCs/>
          <w:sz w:val="24"/>
          <w:szCs w:val="24"/>
        </w:rPr>
      </w:pPr>
      <w:r w:rsidRPr="00344055">
        <w:rPr>
          <w:rFonts w:ascii="Cambria" w:hAnsi="Cambria"/>
          <w:b/>
          <w:bCs/>
          <w:sz w:val="24"/>
          <w:szCs w:val="24"/>
          <w:lang w:val="id-ID"/>
        </w:rPr>
        <w:t xml:space="preserve">Results </w:t>
      </w:r>
      <w:r w:rsidRPr="00344055">
        <w:rPr>
          <w:rFonts w:ascii="Cambria" w:hAnsi="Cambria"/>
          <w:b/>
          <w:bCs/>
          <w:sz w:val="24"/>
          <w:szCs w:val="24"/>
        </w:rPr>
        <w:t>a</w:t>
      </w:r>
      <w:r w:rsidRPr="00344055">
        <w:rPr>
          <w:rFonts w:ascii="Cambria" w:hAnsi="Cambria"/>
          <w:b/>
          <w:bCs/>
          <w:sz w:val="24"/>
          <w:szCs w:val="24"/>
          <w:lang w:val="id-ID"/>
        </w:rPr>
        <w:t xml:space="preserve">nd </w:t>
      </w:r>
      <w:r w:rsidRPr="00344055">
        <w:rPr>
          <w:rFonts w:ascii="Cambria" w:hAnsi="Cambria"/>
          <w:b/>
          <w:bCs/>
          <w:sz w:val="24"/>
          <w:szCs w:val="24"/>
        </w:rPr>
        <w:t>Discussions</w:t>
      </w:r>
    </w:p>
    <w:p w14:paraId="316D9BB8" w14:textId="74C7BA16" w:rsidR="00515C8B" w:rsidRPr="004E6CBB" w:rsidRDefault="00515C8B" w:rsidP="000245FE">
      <w:pPr>
        <w:spacing w:before="120" w:after="120"/>
        <w:jc w:val="both"/>
        <w:rPr>
          <w:rFonts w:asciiTheme="majorHAnsi" w:hAnsiTheme="majorHAnsi"/>
          <w:b/>
          <w:bCs/>
        </w:rPr>
      </w:pPr>
      <w:r w:rsidRPr="004E6CBB">
        <w:rPr>
          <w:rFonts w:asciiTheme="majorHAnsi" w:hAnsiTheme="majorHAnsi"/>
          <w:b/>
          <w:bCs/>
        </w:rPr>
        <w:t>Procedures for Addressing Corruption in the Procurement of Goods and Services in Military Courts</w:t>
      </w:r>
    </w:p>
    <w:p w14:paraId="459950CE" w14:textId="77777777" w:rsidR="00515C8B" w:rsidRPr="00515C8B" w:rsidRDefault="00515C8B" w:rsidP="00515C8B">
      <w:pPr>
        <w:ind w:firstLine="284"/>
        <w:jc w:val="both"/>
        <w:rPr>
          <w:rFonts w:asciiTheme="majorHAnsi" w:eastAsia="Cambria" w:hAnsiTheme="majorHAnsi" w:cs="Cambria"/>
          <w:lang w:val="id-ID"/>
        </w:rPr>
      </w:pPr>
      <w:r w:rsidRPr="00515C8B">
        <w:rPr>
          <w:rFonts w:asciiTheme="majorHAnsi" w:eastAsia="Cambria" w:hAnsiTheme="majorHAnsi" w:cs="Cambria"/>
        </w:rPr>
        <w:t xml:space="preserve">Corruption in the procurement of goods and services sector is a serious problem in various institutions, including in the military environment. The procurement in the military context has different characteristics from procurement in other public sectors because it involves strategic goods, military equipment, and is often related to state security. This makes transparency in the procurement process often limited by security reasons, which in turn creates opportunities for abuse of authority and corruption </w:t>
      </w:r>
      <w:r w:rsidRPr="00515C8B">
        <w:rPr>
          <w:rFonts w:asciiTheme="majorHAnsi" w:eastAsia="Cambria" w:hAnsiTheme="majorHAnsi" w:cs="Cambria"/>
        </w:rPr>
        <w:fldChar w:fldCharType="begin" w:fldLock="1"/>
      </w:r>
      <w:r w:rsidRPr="00515C8B">
        <w:rPr>
          <w:rFonts w:asciiTheme="majorHAnsi" w:eastAsia="Cambria" w:hAnsiTheme="majorHAnsi" w:cs="Cambria"/>
        </w:rPr>
        <w:instrText>ADDIN CSL_CITATION {"citationItems":[{"id":"ITEM-1","itemData":{"author":[{"dropping-particle":"","family":"Pakasi","given":"Dean Raphael","non-dropping-particle":"","parse-names":false,"suffix":""},{"dropping-particle":"","family":"Aling","given":"Daniel Franzel","non-dropping-particle":"","parse-names":false,"suffix":""}],"container-title":"Lex_Privatum","id":"ITEM-1","issued":{"date-parts":[["2013"]]},"title":"PENINDAKAN HUKUM TENTANG TINDAK PIDANA KORUPSI OLEH MILITER YANG MENDUDUKI JABATAN SIPIL","type":"article-journal","volume":"1"},"uris":["http://www.mendeley.com/documents/?uuid=3cf11581-1a1e-4c65-85bb-fe122cdfddb7"]}],"mendeley":{"formattedCitation":"(Pakasi and Aling 2013)","plainTextFormattedCitation":"(Pakasi and Aling 2013)","previouslyFormattedCitation":"(Pakasi and Aling 2013)"},"properties":{"noteIndex":0},"schema":"https://github.com/citation-style-language/schema/raw/master/csl-citation.json"}</w:instrText>
      </w:r>
      <w:r w:rsidRPr="00515C8B">
        <w:rPr>
          <w:rFonts w:asciiTheme="majorHAnsi" w:eastAsia="Cambria" w:hAnsiTheme="majorHAnsi" w:cs="Cambria"/>
        </w:rPr>
        <w:fldChar w:fldCharType="separate"/>
      </w:r>
      <w:r w:rsidRPr="00515C8B">
        <w:rPr>
          <w:rFonts w:asciiTheme="majorHAnsi" w:eastAsia="Cambria" w:hAnsiTheme="majorHAnsi" w:cs="Cambria"/>
          <w:noProof/>
        </w:rPr>
        <w:t>(Pakasi and Aling 2013)</w:t>
      </w:r>
      <w:r w:rsidRPr="00515C8B">
        <w:rPr>
          <w:rFonts w:asciiTheme="majorHAnsi" w:eastAsia="Cambria" w:hAnsiTheme="majorHAnsi" w:cs="Cambria"/>
        </w:rPr>
        <w:fldChar w:fldCharType="end"/>
      </w:r>
      <w:r w:rsidRPr="00515C8B">
        <w:rPr>
          <w:rFonts w:asciiTheme="majorHAnsi" w:eastAsia="Cambria" w:hAnsiTheme="majorHAnsi" w:cs="Cambria"/>
        </w:rPr>
        <w:t>.</w:t>
      </w:r>
    </w:p>
    <w:p w14:paraId="7DD3BA7D" w14:textId="77777777" w:rsidR="00515C8B" w:rsidRPr="00515C8B" w:rsidRDefault="00515C8B" w:rsidP="00515C8B">
      <w:pPr>
        <w:ind w:firstLine="284"/>
        <w:jc w:val="both"/>
        <w:rPr>
          <w:rFonts w:asciiTheme="majorHAnsi" w:eastAsia="Cambria" w:hAnsiTheme="majorHAnsi" w:cs="Cambria"/>
          <w:lang w:val="id-ID"/>
        </w:rPr>
      </w:pPr>
      <w:r w:rsidRPr="00515C8B">
        <w:rPr>
          <w:rFonts w:asciiTheme="majorHAnsi" w:eastAsia="Cambria" w:hAnsiTheme="majorHAnsi" w:cs="Cambria"/>
        </w:rPr>
        <w:t xml:space="preserve">In the military environment, cases of corruption in the acquisition of goods and services can occur at various levels, ranging from officials who have the authority to enter into contracts, suppliers involved in procurement, to military personnel who act as project supervisors. The most common forms of corruption in this case include price inflation, tender manipulation, procurement of fictitious goods, and bribery to officials involved in the selection process of vendors or contractors </w:t>
      </w:r>
      <w:r w:rsidRPr="00515C8B">
        <w:rPr>
          <w:rFonts w:asciiTheme="majorHAnsi" w:eastAsia="Cambria" w:hAnsiTheme="majorHAnsi" w:cs="Cambria"/>
        </w:rPr>
        <w:fldChar w:fldCharType="begin" w:fldLock="1"/>
      </w:r>
      <w:r w:rsidRPr="00515C8B">
        <w:rPr>
          <w:rFonts w:asciiTheme="majorHAnsi" w:eastAsia="Cambria" w:hAnsiTheme="majorHAnsi" w:cs="Cambria"/>
        </w:rPr>
        <w:instrText>ADDIN CSL_CITATION {"citationItems":[{"id":"ITEM-1","itemData":{"DOI":"10.32503/mizan.v8i1.495","ISSN":"2301-7295","abstract":"Penggunaan teknologi internet juga tidak dapat dipungkiri membawa dampak negatif yang tidak kalah banyak dengan manfaat positif yang ada. Internet dapat menimbulkan kejahatan seperti pengancaman, pencurian, pencemaran nama baik, pornografi, perjudian, penipuan hingga tindak pidana terorisme. Melalui media internet beberapa jenis tindak pidana tersebut dapat dilakukan secara online oleh individu maupun kelompok dengan resiko tertangkap yang sangat kecil dengan akibat kerugian yang lebih besar baik untuk masyarakat  maupun negara. Fenomena tindak pidana teknologi informasi merupakan bentuk kejahatan yang relatif baru apabila dibandingkan dengan bentuk-bentuk kejahatan lain yang sifatnya konvensional.\r Hasil penelitian menunjukkan bahwa Modus operandi yang dilakukan oleh pelaku tindak pencemaran nama baik melalui media sosial, merupakan salah satu cerminan bahwa masyarakat Indonesia belum memahami makna penggunaan media sosial secara baik dan bertanggung jawab. Selain mempunyai hak kita juga harus mengetahui kewajiban apa saja yang harus kita laksanakan sebelum mendapatkan hak tersebut, sama halnya dengan menggunakan media sosial, penggunaan media sosial merupakan hak tiap-tiap masyarakat pada saat ini, namun sebagai penggunanya tentu kita juga harus mengetahui kewajiban untuk mengharagai orang lain. Banyaknya modus operandi yang digunaan oleh pelaku cyber crime, maka perlunya kehati-hatian dalam menggunakan media sosial agar kita tidak menjadi salah satu dari pelaku yang dapat merugikan orang banyak. Dalam Undang-Undang Nomor 11 Tahun 2008 tentang Informasi dan Transaksi Elektronik, tidak diatur secara jelas memahami batasan dalam kebebasan berpendapat. Jika kita melihat impelementasinya seakan-akan diatur, maka jelas bahwa kita benar-benar membutuhkan aturan yang baru tentang tindak pidana pencemaran nama baik dalam undang-undang Informasi dan Transaksi Elektronik. Bagi masyarakat harus lebih mehami arti kebebasan berpendapat yang diberikan oleh negara, dan menggunakan kebebasan tersebut dengan bertanggung jawab. Bukan untuk membatasi kebebasan tersebut melainkan untuk memberi peringatan atau tindakan Preventif bagi masyarakat agar lebih berhati-hati dalam menggunakan media sosial dalam berkomunikasi dan memberikan tindakan Represif bagi pelaku tindak pidana pencemaran nama baik melalui media sosial.","author":[{"dropping-particle":"","family":"Sutrisno","given":"Bambang","non-dropping-particle":"","parse-names":false,"suffix":""},{"dropping-particle":"","family":"Paksa","given":"FX Bhirawa Braja","non-dropping-particle":"","parse-names":false,"suffix":""}],"container-title":"MIZAN, Jurnal Ilmu Hukum","id":"ITEM-1","issue":"1","issued":{"date-parts":[["2019"]]},"page":"20","title":"Penegakan Hukum Terhadap Tindak Pidana Pencemaran Nama Baik Menurut Pasal 27 Ayat (3) Undang-Undang Nomor 11 Tahun 2008 Tentang Informasi Dan Transaksi Elektronik (Uu Ite)","type":"article-journal","volume":"8"},"uris":["http://www.mendeley.com/documents/?uuid=df599f54-b7d7-4572-b154-60c232ef3532"]}],"mendeley":{"formattedCitation":"(Sutrisno and Paksa 2019)","plainTextFormattedCitation":"(Sutrisno and Paksa 2019)","previouslyFormattedCitation":"(Sutrisno and Paksa 2019)"},"properties":{"noteIndex":0},"schema":"https://github.com/citation-style-language/schema/raw/master/csl-citation.json"}</w:instrText>
      </w:r>
      <w:r w:rsidRPr="00515C8B">
        <w:rPr>
          <w:rFonts w:asciiTheme="majorHAnsi" w:eastAsia="Cambria" w:hAnsiTheme="majorHAnsi" w:cs="Cambria"/>
        </w:rPr>
        <w:fldChar w:fldCharType="separate"/>
      </w:r>
      <w:r w:rsidRPr="00515C8B">
        <w:rPr>
          <w:rFonts w:asciiTheme="majorHAnsi" w:eastAsia="Cambria" w:hAnsiTheme="majorHAnsi" w:cs="Cambria"/>
          <w:noProof/>
        </w:rPr>
        <w:t>(Sutrisno and Paksa 2019)</w:t>
      </w:r>
      <w:r w:rsidRPr="00515C8B">
        <w:rPr>
          <w:rFonts w:asciiTheme="majorHAnsi" w:eastAsia="Cambria" w:hAnsiTheme="majorHAnsi" w:cs="Cambria"/>
        </w:rPr>
        <w:fldChar w:fldCharType="end"/>
      </w:r>
      <w:r w:rsidRPr="00515C8B">
        <w:rPr>
          <w:rFonts w:asciiTheme="majorHAnsi" w:eastAsia="Cambria" w:hAnsiTheme="majorHAnsi" w:cs="Cambria"/>
        </w:rPr>
        <w:t>.</w:t>
      </w:r>
    </w:p>
    <w:p w14:paraId="0CF971FD" w14:textId="77777777" w:rsidR="00515C8B" w:rsidRPr="00515C8B" w:rsidRDefault="00515C8B" w:rsidP="00515C8B">
      <w:pPr>
        <w:ind w:firstLine="284"/>
        <w:jc w:val="both"/>
        <w:rPr>
          <w:rFonts w:asciiTheme="majorHAnsi" w:eastAsia="Cambria" w:hAnsiTheme="majorHAnsi" w:cs="Cambria"/>
          <w:lang w:val="id-ID"/>
        </w:rPr>
      </w:pPr>
      <w:r w:rsidRPr="00515C8B">
        <w:rPr>
          <w:rFonts w:asciiTheme="majorHAnsi" w:eastAsia="Cambria" w:hAnsiTheme="majorHAnsi" w:cs="Cambria"/>
        </w:rPr>
        <w:t xml:space="preserve">One of the biggest challenges in tackling corruption in procurement of military goods and services sector is the limited access of the public and media to information related to military procurement projects. The procurement process of strategic goods is often carried out under strict supervision, under the pretext of maintaining state secrecy and national security. On the one hand, the protection of sensitive information is indeed important to maintain the stability and security of the country, but on the other hand, the lack of </w:t>
      </w:r>
      <w:r w:rsidRPr="00515C8B">
        <w:rPr>
          <w:rFonts w:asciiTheme="majorHAnsi" w:eastAsia="Cambria" w:hAnsiTheme="majorHAnsi" w:cs="Cambria"/>
        </w:rPr>
        <w:lastRenderedPageBreak/>
        <w:t xml:space="preserve">transparency can be used by certain parties to commit acts of corruption without being detected </w:t>
      </w:r>
      <w:r w:rsidRPr="00515C8B">
        <w:rPr>
          <w:rFonts w:asciiTheme="majorHAnsi" w:eastAsia="Cambria" w:hAnsiTheme="majorHAnsi" w:cs="Cambria"/>
        </w:rPr>
        <w:fldChar w:fldCharType="begin" w:fldLock="1"/>
      </w:r>
      <w:r w:rsidRPr="00515C8B">
        <w:rPr>
          <w:rFonts w:asciiTheme="majorHAnsi" w:eastAsia="Cambria" w:hAnsiTheme="majorHAnsi" w:cs="Cambria"/>
        </w:rPr>
        <w:instrText>ADDIN CSL_CITATION {"citationItems":[{"id":"ITEM-1","itemData":{"author":[{"dropping-particle":"","family":"Pakasi","given":"Dean Raphael","non-dropping-particle":"","parse-names":false,"suffix":""},{"dropping-particle":"","family":"Aling","given":"Daniel Franzel","non-dropping-particle":"","parse-names":false,"suffix":""}],"container-title":"Lex_Privatum","id":"ITEM-1","issued":{"date-parts":[["2013"]]},"title":"PENINDAKAN HUKUM TENTANG TINDAK PIDANA KORUPSI OLEH MILITER YANG MENDUDUKI JABATAN SIPIL","type":"article-journal","volume":"1"},"uris":["http://www.mendeley.com/documents/?uuid=3cf11581-1a1e-4c65-85bb-fe122cdfddb7"]}],"mendeley":{"formattedCitation":"(Pakasi and Aling 2013)","plainTextFormattedCitation":"(Pakasi and Aling 2013)","previouslyFormattedCitation":"(Pakasi and Aling 2013)"},"properties":{"noteIndex":0},"schema":"https://github.com/citation-style-language/schema/raw/master/csl-citation.json"}</w:instrText>
      </w:r>
      <w:r w:rsidRPr="00515C8B">
        <w:rPr>
          <w:rFonts w:asciiTheme="majorHAnsi" w:eastAsia="Cambria" w:hAnsiTheme="majorHAnsi" w:cs="Cambria"/>
        </w:rPr>
        <w:fldChar w:fldCharType="separate"/>
      </w:r>
      <w:r w:rsidRPr="00515C8B">
        <w:rPr>
          <w:rFonts w:asciiTheme="majorHAnsi" w:eastAsia="Cambria" w:hAnsiTheme="majorHAnsi" w:cs="Cambria"/>
          <w:noProof/>
        </w:rPr>
        <w:t>(Pakasi and Aling 2013)</w:t>
      </w:r>
      <w:r w:rsidRPr="00515C8B">
        <w:rPr>
          <w:rFonts w:asciiTheme="majorHAnsi" w:eastAsia="Cambria" w:hAnsiTheme="majorHAnsi" w:cs="Cambria"/>
        </w:rPr>
        <w:fldChar w:fldCharType="end"/>
      </w:r>
      <w:r w:rsidRPr="00515C8B">
        <w:rPr>
          <w:rFonts w:asciiTheme="majorHAnsi" w:eastAsia="Cambria" w:hAnsiTheme="majorHAnsi" w:cs="Cambria"/>
        </w:rPr>
        <w:t>.</w:t>
      </w:r>
    </w:p>
    <w:p w14:paraId="29B6EB3F" w14:textId="77777777" w:rsidR="00515C8B" w:rsidRPr="00515C8B" w:rsidRDefault="00515C8B" w:rsidP="00515C8B">
      <w:pPr>
        <w:ind w:firstLine="284"/>
        <w:jc w:val="both"/>
        <w:rPr>
          <w:rFonts w:asciiTheme="majorHAnsi" w:eastAsia="Cambria" w:hAnsiTheme="majorHAnsi" w:cs="Cambria"/>
          <w:lang w:val="id-ID"/>
        </w:rPr>
      </w:pPr>
      <w:r w:rsidRPr="00515C8B">
        <w:rPr>
          <w:rFonts w:asciiTheme="majorHAnsi" w:eastAsia="Cambria" w:hAnsiTheme="majorHAnsi" w:cs="Cambria"/>
        </w:rPr>
        <w:t>Not only does it cause financial losses for the country, but it also has the potential to reduce the effectiveness of national defense. For example, the procurement of weapons or military equipment that does not meet the standards or the price marked up will reduce the quality and quantity of equipment that should be used to protect the country. As a result, this can have an impact on the readiness and professionalism of the army in carrying out defense duties.</w:t>
      </w:r>
    </w:p>
    <w:p w14:paraId="60E2872F" w14:textId="77777777" w:rsidR="00515C8B" w:rsidRPr="00515C8B" w:rsidRDefault="00515C8B" w:rsidP="00515C8B">
      <w:pPr>
        <w:ind w:firstLine="284"/>
        <w:jc w:val="both"/>
        <w:rPr>
          <w:rFonts w:asciiTheme="majorHAnsi" w:eastAsia="Cambria" w:hAnsiTheme="majorHAnsi" w:cs="Cambria"/>
          <w:lang w:val="id-ID"/>
        </w:rPr>
      </w:pPr>
      <w:r w:rsidRPr="00515C8B">
        <w:rPr>
          <w:rFonts w:asciiTheme="majorHAnsi" w:eastAsia="Cambria" w:hAnsiTheme="majorHAnsi" w:cs="Cambria"/>
        </w:rPr>
        <w:t xml:space="preserve">Furthermore, the existence of military personnel involved in corruption also damages the image of military in the eyes of the public. Military institutions that should be upheld as the guardian of state security can lose public trust if allowed to be involved in corruption scandals. Therefore, it is important to maintain the integrity of military institutions through the strict and fair application of laws for corrupt actors </w:t>
      </w:r>
      <w:r w:rsidRPr="00515C8B">
        <w:rPr>
          <w:rFonts w:asciiTheme="majorHAnsi" w:eastAsia="Cambria" w:hAnsiTheme="majorHAnsi" w:cs="Cambria"/>
        </w:rPr>
        <w:fldChar w:fldCharType="begin" w:fldLock="1"/>
      </w:r>
      <w:r w:rsidRPr="00515C8B">
        <w:rPr>
          <w:rFonts w:asciiTheme="majorHAnsi" w:eastAsia="Cambria" w:hAnsiTheme="majorHAnsi" w:cs="Cambria"/>
        </w:rPr>
        <w:instrText>ADDIN CSL_CITATION {"citationItems":[{"id":"ITEM-1","itemData":{"DOI":"10.14710/lr.v15i1.23356","ISSN":"25808508","abstract":"Corruption crimes have caused destruction to the nation's economy. This article aims to examine the role of the community in efforts to prevent and eradicate corruption. The research method in this article is normative legal research that is prescriptive analytical, through conceptual approach, statute approach, and case approach. The results of the study concluded that: first, the role of the community must participate in efforts to prevent and eradicate corruption in the grounds that the community is a victim and the community as a component of the state. Second, the form of community participation in the prevention and eradication of criminal acts of corruption is to follow the provisions of community participation as regulated by legislation by carrying out planned and unplanned social controls to educate, invite or even force citizens to adjust yourself with the habits and life values of the people concerned.","author":[{"dropping-particle":"","family":"Bunga","given":"Marten","non-dropping-particle":"","parse-names":false,"suffix":""},{"dropping-particle":"","family":"Dg Maroa","given":"Mustating","non-dropping-particle":"","parse-names":false,"suffix":""},{"dropping-particle":"","family":"Arief","given":"Amelia","non-dropping-particle":"","parse-names":false,"suffix":""},{"dropping-particle":"","family":"Djanggih","given":"Hardianto","non-dropping-particle":"","parse-names":false,"suffix":""}],"container-title":"Law Reform: Jurnal Pembaharuan Hukum","id":"ITEM-1","issue":"1","issued":{"date-parts":[["2019"]]},"page":"85-97","title":"Urgensi Peran Serta Masyarakat Dalam Upaya Pencegahan Dan Pemberantasan Tindak Pidana Korupsi","type":"article-journal","volume":"15"},"uris":["http://www.mendeley.com/documents/?uuid=bf3dacb2-f16b-4e3e-aacb-4c56eb84917a"]}],"mendeley":{"formattedCitation":"(Bunga et al. 2019)","plainTextFormattedCitation":"(Bunga et al. 2019)","previouslyFormattedCitation":"(Bunga et al. 2019)"},"properties":{"noteIndex":0},"schema":"https://github.com/citation-style-language/schema/raw/master/csl-citation.json"}</w:instrText>
      </w:r>
      <w:r w:rsidRPr="00515C8B">
        <w:rPr>
          <w:rFonts w:asciiTheme="majorHAnsi" w:eastAsia="Cambria" w:hAnsiTheme="majorHAnsi" w:cs="Cambria"/>
        </w:rPr>
        <w:fldChar w:fldCharType="separate"/>
      </w:r>
      <w:r w:rsidRPr="00515C8B">
        <w:rPr>
          <w:rFonts w:asciiTheme="majorHAnsi" w:eastAsia="Cambria" w:hAnsiTheme="majorHAnsi" w:cs="Cambria"/>
          <w:noProof/>
        </w:rPr>
        <w:t>(Bunga et al. 2019)</w:t>
      </w:r>
      <w:r w:rsidRPr="00515C8B">
        <w:rPr>
          <w:rFonts w:asciiTheme="majorHAnsi" w:eastAsia="Cambria" w:hAnsiTheme="majorHAnsi" w:cs="Cambria"/>
        </w:rPr>
        <w:fldChar w:fldCharType="end"/>
      </w:r>
      <w:r w:rsidRPr="00515C8B">
        <w:rPr>
          <w:rFonts w:asciiTheme="majorHAnsi" w:eastAsia="Cambria" w:hAnsiTheme="majorHAnsi" w:cs="Cambria"/>
        </w:rPr>
        <w:t>.</w:t>
      </w:r>
    </w:p>
    <w:p w14:paraId="6E21D1AB" w14:textId="77777777" w:rsidR="00515C8B" w:rsidRPr="00515C8B" w:rsidRDefault="00515C8B" w:rsidP="00515C8B">
      <w:pPr>
        <w:ind w:firstLine="284"/>
        <w:jc w:val="both"/>
        <w:rPr>
          <w:rFonts w:asciiTheme="majorHAnsi" w:eastAsia="Cambria" w:hAnsiTheme="majorHAnsi" w:cs="Cambria"/>
        </w:rPr>
      </w:pPr>
      <w:r w:rsidRPr="00515C8B">
        <w:rPr>
          <w:rFonts w:asciiTheme="majorHAnsi" w:eastAsia="Cambria" w:hAnsiTheme="majorHAnsi" w:cs="Cambria"/>
        </w:rPr>
        <w:t>One of the important aspects in handling corruption on  procurement of goods and services in military courts is the synergy between general criminal law and military law. Corruption cases involving military personnel are not only a violation of military discipline, but also a criminal act that threatens the interests of the state in general. Therefore, it is important to maintain a balance between the enforcement of general criminal law regulated by the Criminal Code and the Corruption Eradication Law, with the internal rules that apply in the military.</w:t>
      </w:r>
    </w:p>
    <w:p w14:paraId="61A9599B" w14:textId="689891F3" w:rsidR="000245FE" w:rsidRPr="00515C8B" w:rsidRDefault="00515C8B" w:rsidP="00515C8B">
      <w:pPr>
        <w:ind w:firstLine="284"/>
        <w:jc w:val="both"/>
        <w:rPr>
          <w:rFonts w:asciiTheme="majorHAnsi" w:eastAsia="Cambria" w:hAnsiTheme="majorHAnsi" w:cs="Cambria"/>
        </w:rPr>
      </w:pPr>
      <w:r w:rsidRPr="00515C8B">
        <w:rPr>
          <w:rFonts w:asciiTheme="majorHAnsi" w:eastAsia="Cambria" w:hAnsiTheme="majorHAnsi" w:cs="Cambria"/>
        </w:rPr>
        <w:t xml:space="preserve">Corruption procurement of goods and services in the military environment does not only concern aspects of economic crimes, but also serious violations of the Sapta Marga and the Soldier's Oath, which is the code of ethics for TNI soldiers. Corrupt perpetrators from the military can be subject to heavier punishments, because their actions are considered to violate integrity and weaken the country's defense. Military courts have a strategic role in maintaining the integrity of military institutions. Firmness in handling corruption cases shows that military institutions do not tolerate actions that can damage the image and professionalism of soldiers. The decision issued by the military court is also an important precedent for preventive efforts, encouraging transparant, and accountability in procurement goods and services in military environment </w:t>
      </w:r>
      <w:r w:rsidRPr="00515C8B">
        <w:rPr>
          <w:rFonts w:asciiTheme="majorHAnsi" w:eastAsia="Cambria" w:hAnsiTheme="majorHAnsi" w:cs="Cambria"/>
        </w:rPr>
        <w:fldChar w:fldCharType="begin" w:fldLock="1"/>
      </w:r>
      <w:r w:rsidRPr="00515C8B">
        <w:rPr>
          <w:rFonts w:asciiTheme="majorHAnsi" w:eastAsia="Cambria" w:hAnsiTheme="majorHAnsi" w:cs="Cambria"/>
        </w:rPr>
        <w:instrText>ADDIN CSL_CITATION {"citationItems":[{"id":"ITEM-1","itemData":{"DOI":"10.31078/jk1521","ISSN":"1829-7706","abstract":"Proses pemakzulan atau pemberhentian Presiden menurut UUD 1945 melibatkan secara aktif tiga lembaga negara berbeda, yaitu DPR, Mahkamah Konstitusi, dan MPR. Proses akhir dari pemberhentian Presiden bukanlah di tangan Mahkamah Konstitusi, namun terletak pada sidang istimewa MPR yang terdiri dari anggota DPR dan anggota DPD. Dengan demikian, anggota MPR yang berasal dari anggota DPD sebenarnya memiliki peran terbatas secara perorangan untuk turut serta menentukan pemberhentian Presiden karena tidak melibatkan DPD secara kelembagaan sebagai kamar kedua parlemen (second chamber). Oleh karenanya, penelitian ini bertujuan untuk memberikan analisis perbandingan mengenai sejauh mana peran kamar kedua parlemen dan kekuasaan kehakiman dalam proses pemberhentian Presiden di lima belas negara berbeda, baik terhadap negara yang menggunakan sistem pemerintahan presidensial, sistem parlementer, ataupun sistem campuran. Penelitian ini menggunakan metode kualitatif melalui pendekatan perbandingan konstitusi dengan bersumber pada studi kepustakaan. Berdasarkan analisis perbandingan yang dilakukan maka diperoleh kesimpulan bahwa kamar kedua parlemen di banyak negara memiliki peran sangat penting dalam menentukan pemberhentian Presiden. Kemudian, sebagian besar negara yang diteliti juga turut melibatkan kekuasaan kehakimannya melalui Mahkamah Konstitusi, Mahkamah Agung, atau Dewan Konstitusi. Lembaga ini menilai usulan atau dakwaan dari parlemen mengenai bersalah atau tidaknya Presiden atas dugaan pelanggaran konstitusi atau kejahatan pidana lainnya. Meskipun demikian, negara-negara tersebut umumnya tetap menyerahkan keputusan akhir mengenai pemberhentian Presiden kepada parlemen.The impeachment process against the President according to the 1945 Constitution of Indonesia actively involves three different state institutions, namely the House of Representative (DPR), the Constitutional Court (MK), and the People’s Consultative Assembly (MPR). The final process of the impeachment in Indonesia is not in the hand of the Constitutional Court, but it lies in a Special Session of the MPR consisting of members of the DPR and members of the Regional Representative Council (DPD). Thus, the individual role of the MPR members who come from the DPD members to participate in determining the impeachment of the President is limited because it does not involve the DPD institutionally as the second chamber of parliament. Therefore, this research aims to provide a comparative analysis concer…","author":[{"dropping-particle":"","family":"Faiz","given":"Pan Mohamad","non-dropping-particle":"","parse-names":false,"suffix":""},{"dropping-particle":"","family":"Redhani","given":"Muhammad Erfa","non-dropping-particle":"","parse-names":false,"suffix":""}],"container-title":"Jurnal Konstitusi","id":"ITEM-1","issue":"2","issued":{"date-parts":[["2018"]]},"page":"231","title":"Analisis Perbandingan Peran Kamar Kedua Parlemen dan Kekuasaan Kehakiman dalam Proses Pemberhentian Presiden","type":"article-journal","volume":"15"},"uris":["http://www.mendeley.com/documents/?uuid=63745852-5cb0-4f18-86dd-6de9897a960f"]}],"mendeley":{"formattedCitation":"(Faiz and Redhani 2018)","plainTextFormattedCitation":"(Faiz and Redhani 2018)"},"properties":{"noteIndex":0},"schema":"https://github.com/citation-style-language/schema/raw/master/csl-citation.json"}</w:instrText>
      </w:r>
      <w:r w:rsidRPr="00515C8B">
        <w:rPr>
          <w:rFonts w:asciiTheme="majorHAnsi" w:eastAsia="Cambria" w:hAnsiTheme="majorHAnsi" w:cs="Cambria"/>
        </w:rPr>
        <w:fldChar w:fldCharType="separate"/>
      </w:r>
      <w:r w:rsidRPr="00515C8B">
        <w:rPr>
          <w:rFonts w:asciiTheme="majorHAnsi" w:eastAsia="Cambria" w:hAnsiTheme="majorHAnsi" w:cs="Cambria"/>
          <w:noProof/>
        </w:rPr>
        <w:t>(Faiz and Redhani 2018)</w:t>
      </w:r>
      <w:r w:rsidRPr="00515C8B">
        <w:rPr>
          <w:rFonts w:asciiTheme="majorHAnsi" w:eastAsia="Cambria" w:hAnsiTheme="majorHAnsi" w:cs="Cambria"/>
        </w:rPr>
        <w:fldChar w:fldCharType="end"/>
      </w:r>
      <w:r w:rsidR="00CA69D1" w:rsidRPr="000245FE">
        <w:rPr>
          <w:rFonts w:asciiTheme="majorHAnsi" w:hAnsiTheme="majorHAnsi"/>
        </w:rPr>
        <w:t>.</w:t>
      </w:r>
    </w:p>
    <w:p w14:paraId="6E7D647E" w14:textId="77777777" w:rsidR="000245FE" w:rsidRDefault="000245FE" w:rsidP="000245FE">
      <w:pPr>
        <w:pStyle w:val="BodyText"/>
        <w:spacing w:after="0"/>
        <w:ind w:firstLine="284"/>
        <w:jc w:val="both"/>
        <w:rPr>
          <w:rFonts w:asciiTheme="majorHAnsi" w:hAnsiTheme="majorHAnsi"/>
        </w:rPr>
      </w:pPr>
    </w:p>
    <w:p w14:paraId="7E7392CC" w14:textId="76D265CB" w:rsidR="00515C8B" w:rsidRPr="004E6CBB" w:rsidRDefault="00515C8B" w:rsidP="000245FE">
      <w:pPr>
        <w:spacing w:after="120" w:line="276" w:lineRule="auto"/>
        <w:jc w:val="both"/>
        <w:rPr>
          <w:rFonts w:asciiTheme="majorHAnsi" w:hAnsiTheme="majorHAnsi"/>
          <w:b/>
          <w:bCs/>
        </w:rPr>
      </w:pPr>
      <w:r w:rsidRPr="004E6CBB">
        <w:rPr>
          <w:rFonts w:asciiTheme="majorHAnsi" w:hAnsiTheme="majorHAnsi"/>
          <w:b/>
          <w:bCs/>
        </w:rPr>
        <w:t>The Authority of the Corruption Eradication Commission and Military Police in Addressing Corruption in Military Procurement of Goods and Services</w:t>
      </w:r>
    </w:p>
    <w:p w14:paraId="62FFA4EA" w14:textId="77777777" w:rsidR="00515C8B" w:rsidRPr="00515C8B" w:rsidRDefault="00515C8B" w:rsidP="00515C8B">
      <w:pPr>
        <w:ind w:firstLine="284"/>
        <w:jc w:val="both"/>
        <w:rPr>
          <w:rFonts w:asciiTheme="majorHAnsi" w:eastAsia="Cambria" w:hAnsiTheme="majorHAnsi" w:cs="Cambria"/>
          <w:lang w:val="id-ID"/>
        </w:rPr>
      </w:pPr>
      <w:r w:rsidRPr="00515C8B">
        <w:rPr>
          <w:rFonts w:asciiTheme="majorHAnsi" w:eastAsia="Cambria" w:hAnsiTheme="majorHAnsi" w:cs="Cambria"/>
        </w:rPr>
        <w:t xml:space="preserve">The handling of corruption crimes in the military environment, related to procurement of goods and services involves two main institutions, namely the Corruption Eradication Commission (KPK) and the Military Police. These two institutions have special authority regulated by law in order to eradicate corruption committed by military personnel. However, because corruption in the military environment involves violations of military discipline, it requires a different approach than corruption in the civilian environment </w:t>
      </w:r>
      <w:r w:rsidRPr="00515C8B">
        <w:rPr>
          <w:rFonts w:asciiTheme="majorHAnsi" w:eastAsia="Cambria" w:hAnsiTheme="majorHAnsi" w:cs="Cambria"/>
        </w:rPr>
        <w:fldChar w:fldCharType="begin" w:fldLock="1"/>
      </w:r>
      <w:r w:rsidRPr="00515C8B">
        <w:rPr>
          <w:rFonts w:asciiTheme="majorHAnsi" w:eastAsia="Cambria" w:hAnsiTheme="majorHAnsi" w:cs="Cambria"/>
        </w:rPr>
        <w:instrText>ADDIN CSL_CITATION {"citationItems":[{"id":"ITEM-1","itemData":{"abstract":"“Studi ini bertujuan untuk mengetahui pengaturan mengenai tindak pidana cyber bullying ditinjau dari Kitab Undang-Undang Hukum Pidana serta diluar Kitab Undang-Undang Hukum Pidana. Studi ini menggunakan metode penelitian yuridis normatif dengan pendekatan perundang-undangandan pendekatan konseptual. Hasil dari penulisan jurnal ini menunjukan bahwa pengaturan tindak pidana cyber bullying ditinjau dari Kitab Undang-Undang Hukum Pidana dapat kita lihat dalam Pasal 315 Kitab Undang-Undang Hukum Pidana karena tindak pidana cyber bullying memenuhi unsur subyektif maupun unsur obyektif yang terdapat dalam pasal tersebut. Selanjutnya, pengaturan tindak pidana cyber bullying di luar Kitab Undang-Undang Hukum Pidana terdapat dalam Pasal 27 Ayat (3) Undang-undang No 19 Tahun 2016 tentang Perubahan Atas Undang-undang Nomor 11 Tahun 2008 tentang Informasi dan Transaksi Elektronik karena dalam pasal tersebut menjelaskan mengenai penghinaan yang dilakukan melalui sarana computer atau media elektronik yang mana sesuai dengan perbuatan cyber bullying yang merupakan penghinaan melalui dunia maya. Kata Kunci : Tinjauan Yuridis, Cyber Bullying, Hukum Pidana, Indonesia. ABSTRACT Information technology is one of the most rapidly developing needs in this modern era. As a result of these developments, information technology gradually changes the behavior of people and human civilization globally. The development of this technology also has an impact in the world of crime, namely the existence of a type of humiliation that is insulted through cyberspace called Cyber ??Bullying. This study aims to determine the regulation of cyber bullying in terms of the Criminal Code and outside the Criminal Code. This study uses a normative juridical research method with a statutory approach and a conceptual approach. The results of the writing of this journal show that the regulation of cyber bullying in terms of the Criminal Code can be seen in Article 315 of the Criminal Law Code because the cyber bullying crime fulfills both the subjective and objective elements contained in the article. Furthermore, the regulation of cyber bullying outside the Criminal Code Act is contained in Article 27 Paragraph (3) of Law No. 19 of 2016 concerning Amendments to Law Number 11 of 2008 concerning Information and Electronic Transactions because it explains in the article regarding insults committed through computer or electronic media which are in accordance with cyber bullying which is an insult through …","author":[{"dropping-particle":"","family":"Muhammad Dani Ihkam","given":"I Gusti Ngurah Parwata","non-dropping-particle":"","parse-names":false,"suffix":""}],"container-title":"Jurnal Harian Regional","id":"ITEM-1","issue":"11","issued":{"date-parts":[["2020"]]},"page":"1-10","title":"Tindak Pidana Cyber Bullying Dalam Perspektif Hukum Pidana Di Indonesia","type":"article-journal","volume":"9"},"uris":["http://www.mendeley.com/documents/?uuid=3b459dd6-8e14-4f84-a61d-5d5f3300a790"]}],"mendeley":{"formattedCitation":"(Muhammad Dani Ihkam 2020)","plainTextFormattedCitation":"(Muhammad Dani Ihkam 2020)","previouslyFormattedCitation":"(Muhammad Dani Ihkam 2020)"},"properties":{"noteIndex":0},"schema":"https://github.com/citation-style-language/schema/raw/master/csl-citation.json"}</w:instrText>
      </w:r>
      <w:r w:rsidRPr="00515C8B">
        <w:rPr>
          <w:rFonts w:asciiTheme="majorHAnsi" w:eastAsia="Cambria" w:hAnsiTheme="majorHAnsi" w:cs="Cambria"/>
        </w:rPr>
        <w:fldChar w:fldCharType="separate"/>
      </w:r>
      <w:r w:rsidRPr="00515C8B">
        <w:rPr>
          <w:rFonts w:asciiTheme="majorHAnsi" w:eastAsia="Cambria" w:hAnsiTheme="majorHAnsi" w:cs="Cambria"/>
          <w:noProof/>
        </w:rPr>
        <w:t>(Muhammad Dani Ihkam 2020)</w:t>
      </w:r>
      <w:r w:rsidRPr="00515C8B">
        <w:rPr>
          <w:rFonts w:asciiTheme="majorHAnsi" w:eastAsia="Cambria" w:hAnsiTheme="majorHAnsi" w:cs="Cambria"/>
        </w:rPr>
        <w:fldChar w:fldCharType="end"/>
      </w:r>
      <w:r w:rsidRPr="00515C8B">
        <w:rPr>
          <w:rFonts w:asciiTheme="majorHAnsi" w:eastAsia="Cambria" w:hAnsiTheme="majorHAnsi" w:cs="Cambria"/>
        </w:rPr>
        <w:t>.</w:t>
      </w:r>
    </w:p>
    <w:p w14:paraId="70869E2B" w14:textId="77777777" w:rsidR="00515C8B" w:rsidRPr="00515C8B" w:rsidRDefault="00515C8B" w:rsidP="00515C8B">
      <w:pPr>
        <w:ind w:firstLine="284"/>
        <w:jc w:val="both"/>
        <w:rPr>
          <w:rFonts w:asciiTheme="majorHAnsi" w:eastAsia="Cambria" w:hAnsiTheme="majorHAnsi" w:cs="Cambria"/>
          <w:lang w:val="id-ID"/>
        </w:rPr>
      </w:pPr>
      <w:r w:rsidRPr="00515C8B">
        <w:rPr>
          <w:rFonts w:asciiTheme="majorHAnsi" w:eastAsia="Cambria" w:hAnsiTheme="majorHAnsi" w:cs="Cambria"/>
        </w:rPr>
        <w:t xml:space="preserve">The authority of the KPK and the Military Police often overlaps in corruption cases involving military personnel, but they also complement each other in several aspects. The following will discuss the authority of each institution in handling corruption cases in the procurement goods and services in the military environment </w:t>
      </w:r>
      <w:r w:rsidRPr="00515C8B">
        <w:rPr>
          <w:rFonts w:asciiTheme="majorHAnsi" w:eastAsia="Cambria" w:hAnsiTheme="majorHAnsi" w:cs="Cambria"/>
        </w:rPr>
        <w:fldChar w:fldCharType="begin" w:fldLock="1"/>
      </w:r>
      <w:r w:rsidRPr="00515C8B">
        <w:rPr>
          <w:rFonts w:asciiTheme="majorHAnsi" w:eastAsia="Cambria" w:hAnsiTheme="majorHAnsi" w:cs="Cambria"/>
        </w:rPr>
        <w:instrText>ADDIN CSL_CITATION {"citationItems":[{"id":"ITEM-1","itemData":{"DOI":"10.24269/ls.v3i2.2023","ISSN":"2580-8656","abstract":"Konstitusi bangsa Indonesia mengatur tentang demokrasi yaitu dalam UUD1945 Pasal 1 ayat 2 yang berbunyi “Kedaulatan adalah ditangan rakyat dan dilaksanakan menurut Undang-Undang.Apabila merujuk pada pasal tersebut jelas bahwa negara Indonesia bukanlah negara yang berkedaulatan Presiden,berkedaulatan Negara,maupun berkedaulatan agama dan golongan.Demokrasi juga sangat mempengaruhi pemilihan umum di Indonesia,apakah hasil dari pemilihan umum berkualitas atau tidak itu tergantung dari para penyelenggara Pemilu itu sendiri serta kesadaran msyarakat dalam memilih para pemimpin baik Presiden,Gubernur,Bupati dan Wakil Bupati maupun Walikota dan Wakil Walikota serta anggota Legislatif.Kalau Pemilihannya menggunakan asas Langsung,umum ,bebas dan rahasia serta calon pemimpinannya juga Sumber daya Manusianya baik dan berkualitas ,tidak ada politik uang maka hasilnya akan maksaimal.","author":[{"dropping-particle":"","family":"Triwahyuningsih","given":"Susani","non-dropping-particle":"","parse-names":false,"suffix":""}],"container-title":"Legal Standing : Jurnal Ilmu Hukum","id":"ITEM-1","issue":"2","issued":{"date-parts":[["2019"]]},"page":"62","title":"Sistem Demokrasi Dalam Pemilihan Umum Secara Langsung Di Indonesia","type":"article-journal","volume":"3"},"uris":["http://www.mendeley.com/documents/?uuid=6b64ad0e-093e-4791-88d7-442e7ff195f7"]}],"mendeley":{"formattedCitation":"(Triwahyuningsih 2019)","plainTextFormattedCitation":"(Triwahyuningsih 2019)","previouslyFormattedCitation":"(Triwahyuningsih 2019)"},"properties":{"noteIndex":0},"schema":"https://github.com/citation-style-language/schema/raw/master/csl-citation.json"}</w:instrText>
      </w:r>
      <w:r w:rsidRPr="00515C8B">
        <w:rPr>
          <w:rFonts w:asciiTheme="majorHAnsi" w:eastAsia="Cambria" w:hAnsiTheme="majorHAnsi" w:cs="Cambria"/>
        </w:rPr>
        <w:fldChar w:fldCharType="separate"/>
      </w:r>
      <w:r w:rsidRPr="00515C8B">
        <w:rPr>
          <w:rFonts w:asciiTheme="majorHAnsi" w:eastAsia="Cambria" w:hAnsiTheme="majorHAnsi" w:cs="Cambria"/>
          <w:noProof/>
        </w:rPr>
        <w:t>(Triwahyuningsih 2019)</w:t>
      </w:r>
      <w:r w:rsidRPr="00515C8B">
        <w:rPr>
          <w:rFonts w:asciiTheme="majorHAnsi" w:eastAsia="Cambria" w:hAnsiTheme="majorHAnsi" w:cs="Cambria"/>
        </w:rPr>
        <w:fldChar w:fldCharType="end"/>
      </w:r>
      <w:r w:rsidRPr="00515C8B">
        <w:rPr>
          <w:rFonts w:asciiTheme="majorHAnsi" w:eastAsia="Cambria" w:hAnsiTheme="majorHAnsi" w:cs="Cambria"/>
        </w:rPr>
        <w:t>.</w:t>
      </w:r>
    </w:p>
    <w:p w14:paraId="6DD13FA5" w14:textId="77777777" w:rsidR="00515C8B" w:rsidRPr="00515C8B" w:rsidRDefault="00515C8B" w:rsidP="00515C8B">
      <w:pPr>
        <w:ind w:firstLine="284"/>
        <w:jc w:val="both"/>
        <w:rPr>
          <w:rFonts w:asciiTheme="majorHAnsi" w:eastAsia="Cambria" w:hAnsiTheme="majorHAnsi" w:cs="Cambria"/>
          <w:lang w:val="id-ID"/>
        </w:rPr>
      </w:pPr>
      <w:r w:rsidRPr="00515C8B">
        <w:rPr>
          <w:rFonts w:asciiTheme="majorHAnsi" w:eastAsia="Cambria" w:hAnsiTheme="majorHAnsi" w:cs="Cambria"/>
        </w:rPr>
        <w:t xml:space="preserve">KPK as an independent institution established, has the main task of preventing, investigating, investigating, and prosecuting corruption crimes that are detrimental to the state. The authority of the KPK covers all aspects of government, including cases involving military personnel, especially if the criminal act </w:t>
      </w:r>
      <w:r w:rsidRPr="00515C8B">
        <w:rPr>
          <w:rFonts w:asciiTheme="majorHAnsi" w:eastAsia="Cambria" w:hAnsiTheme="majorHAnsi" w:cs="Cambria"/>
        </w:rPr>
        <w:fldChar w:fldCharType="begin" w:fldLock="1"/>
      </w:r>
      <w:r w:rsidRPr="00515C8B">
        <w:rPr>
          <w:rFonts w:asciiTheme="majorHAnsi" w:eastAsia="Cambria" w:hAnsiTheme="majorHAnsi" w:cs="Cambria"/>
        </w:rPr>
        <w:instrText>ADDIN CSL_CITATION {"citationItems":[{"id":"ITEM-1","itemData":{"abstract":"Penelitian ini dilakukan dengan tujuan untuk mengetahui bagaimana penegakan hukum pidana terhadap kelalaian pengemudi yang mengakibatkan kecelakaan di jalan raya dan bagaimana faktor penyebab kelalaian pengemudi dalam berlalu lintas. Dengan menggunakan metode penelitian yuridis normatif, maka dapat disimpulkan: 1. Penegakan hukum pidana terhadap kelalaian pengemudi yang menimbulkan kecelakaan dapat dilakukan dengan menerapkan ketentuan KUHP Pasal 359 apabila akibat kelalaian pengemudi mengakibatkan kematian orang lain, sedangkan sebagai kelalaian yang dalam Pasal 360 KUHP bilamana akibat kelalaian pengemudi tersebut tidak mengakibatkan kematian. Sedangkan dalam ketentuan pidana lainnya yang ada dalam Undang-Undang Nomor 22 tahun 2009 tentang lalu lintas dan angkutan jalan, mengenai penanganan kecelakaan lalu lintas bagi kelalaian pengemudi baik yang mengakibatkan kematian maupun hanya luka-luka hanya diatur dalam Pasal 310. 2. Faktor-faktor yang mempengaruhi kondisi keselamatan dan tingkat kepatuhan adalah faktor internal kualitas sumber daya Polantas, faktor eksternal sarana dan prasarana jalan belum mencerminkan dan belum memperhatikan aspek keselamatan.","author":[{"dropping-particle":"","family":"Hengstz","given":"Yaenet Monica","non-dropping-particle":"","parse-names":false,"suffix":""}],"container-title":"Lex Crimen","id":"ITEM-1","issue":"1","issued":{"date-parts":[["2016"]]},"page":"107-115","title":"Penegakan Hukum Pidana Terhadap Kelalaian Pengemudi Yang Menimbulkan Kecelakaan Di Jalan Raya","type":"article-journal","volume":"V"},"uris":["http://www.mendeley.com/documents/?uuid=42dbe7ae-938e-4c2e-bbc4-d95ec113acfa"]}],"mendeley":{"formattedCitation":"(Hengstz 2016)","plainTextFormattedCitation":"(Hengstz 2016)","previouslyFormattedCitation":"(Hengstz 2016)"},"properties":{"noteIndex":0},"schema":"https://github.com/citation-style-language/schema/raw/master/csl-citation.json"}</w:instrText>
      </w:r>
      <w:r w:rsidRPr="00515C8B">
        <w:rPr>
          <w:rFonts w:asciiTheme="majorHAnsi" w:eastAsia="Cambria" w:hAnsiTheme="majorHAnsi" w:cs="Cambria"/>
        </w:rPr>
        <w:fldChar w:fldCharType="separate"/>
      </w:r>
      <w:r w:rsidRPr="00515C8B">
        <w:rPr>
          <w:rFonts w:asciiTheme="majorHAnsi" w:eastAsia="Cambria" w:hAnsiTheme="majorHAnsi" w:cs="Cambria"/>
          <w:noProof/>
        </w:rPr>
        <w:t>(Hengstz 2016)</w:t>
      </w:r>
      <w:r w:rsidRPr="00515C8B">
        <w:rPr>
          <w:rFonts w:asciiTheme="majorHAnsi" w:eastAsia="Cambria" w:hAnsiTheme="majorHAnsi" w:cs="Cambria"/>
        </w:rPr>
        <w:fldChar w:fldCharType="end"/>
      </w:r>
      <w:r w:rsidRPr="00515C8B">
        <w:rPr>
          <w:rFonts w:asciiTheme="majorHAnsi" w:eastAsia="Cambria" w:hAnsiTheme="majorHAnsi" w:cs="Cambria"/>
        </w:rPr>
        <w:t>.</w:t>
      </w:r>
    </w:p>
    <w:p w14:paraId="44B802A4" w14:textId="77777777" w:rsidR="00515C8B" w:rsidRPr="00515C8B" w:rsidRDefault="00515C8B" w:rsidP="00515C8B">
      <w:pPr>
        <w:ind w:firstLine="284"/>
        <w:jc w:val="both"/>
        <w:rPr>
          <w:rFonts w:asciiTheme="majorHAnsi" w:eastAsia="Cambria" w:hAnsiTheme="majorHAnsi" w:cs="Cambria"/>
          <w:lang w:val="id-ID"/>
        </w:rPr>
      </w:pPr>
      <w:r w:rsidRPr="00515C8B">
        <w:rPr>
          <w:rFonts w:asciiTheme="majorHAnsi" w:eastAsia="Cambria" w:hAnsiTheme="majorHAnsi" w:cs="Cambria"/>
        </w:rPr>
        <w:t xml:space="preserve">The KPK has a very broad authority in dealing with corruption, including conducting investigations against high-ranking military officials or contractors involved in procurement corruption in the military environment. In certain cases, especially those involving strategic or large-scale projects, the KPK often cooperates with the Military Police to conduct investigations and investigations, especially if the suspect is an active member of the military </w:t>
      </w:r>
      <w:r w:rsidRPr="00515C8B">
        <w:rPr>
          <w:rFonts w:asciiTheme="majorHAnsi" w:eastAsia="Cambria" w:hAnsiTheme="majorHAnsi" w:cs="Cambria"/>
        </w:rPr>
        <w:fldChar w:fldCharType="begin" w:fldLock="1"/>
      </w:r>
      <w:r w:rsidRPr="00515C8B">
        <w:rPr>
          <w:rFonts w:asciiTheme="majorHAnsi" w:eastAsia="Cambria" w:hAnsiTheme="majorHAnsi" w:cs="Cambria"/>
        </w:rPr>
        <w:instrText>ADDIN CSL_CITATION {"citationItems":[{"id":"ITEM-1","itemData":{"abstract":"Sexual violence is one of the cases that attracts attention in Indonesia. According to data obtained from the Women's National Commission (Komnas Perempuan), the number of cases of violence against women touched 299,911 cases in 2020. The rise of sexual violence cases where the majority of victims are women creates various perceptions in society. This makes a reason in the discussion of this journal, namely the Act on the Crime of Sexual Violence (UU TPKS). The existence of the TPKS Law which clearly and specifically regulates the types of sexual violence and the protection of victims of sexual violence is a breakthrough in law enforcement in cases of sexual violence. The purpose of this paper is to analyze juridically regarding the existence of the TPKS Law, starting from the process of its formation, until the ratification of the TPKS Law. This study uses a normative juridical legal research method that prioritizes indirect data, where the data used is obtained through scientific articles, books, and statutory regulations. This writing is one explanation of how and why the TPKS Law exists.","author":[{"dropping-particle":"","family":"Bima","given":"BratadewaBayusuta","non-dropping-particle":"","parse-names":false,"suffix":""},{"dropping-particle":"","family":"Suwanto","given":"Yohanes","non-dropping-particle":"","parse-names":false,"suffix":""}],"container-title":"Jurnal Demokrasi dan Ketahanan Nasional |","id":"ITEM-1","issue":"1","issued":{"date-parts":[["2022"]]},"number-of-pages":"37","title":"ANALISIS YURIDIS UNDANG-UNDANG TINDAK PIDANA KEKERASAN SEKSUAL DALAM PENEGAKAN HUKUM DI INDONESIA","type":"report","volume":"1"},"uris":["http://www.mendeley.com/documents/?uuid=8700eeb7-f659-3981-8718-ce8a26838c31"]}],"mendeley":{"formattedCitation":"(Bima and Suwanto 2022)","plainTextFormattedCitation":"(Bima and Suwanto 2022)","previouslyFormattedCitation":"(Bima and Suwanto 2022)"},"properties":{"noteIndex":0},"schema":"https://github.com/citation-style-language/schema/raw/master/csl-citation.json"}</w:instrText>
      </w:r>
      <w:r w:rsidRPr="00515C8B">
        <w:rPr>
          <w:rFonts w:asciiTheme="majorHAnsi" w:eastAsia="Cambria" w:hAnsiTheme="majorHAnsi" w:cs="Cambria"/>
        </w:rPr>
        <w:fldChar w:fldCharType="separate"/>
      </w:r>
      <w:r w:rsidRPr="00515C8B">
        <w:rPr>
          <w:rFonts w:asciiTheme="majorHAnsi" w:eastAsia="Cambria" w:hAnsiTheme="majorHAnsi" w:cs="Cambria"/>
          <w:noProof/>
        </w:rPr>
        <w:t>(Bima and Suwanto 2022)</w:t>
      </w:r>
      <w:r w:rsidRPr="00515C8B">
        <w:rPr>
          <w:rFonts w:asciiTheme="majorHAnsi" w:eastAsia="Cambria" w:hAnsiTheme="majorHAnsi" w:cs="Cambria"/>
        </w:rPr>
        <w:fldChar w:fldCharType="end"/>
      </w:r>
      <w:r w:rsidRPr="00515C8B">
        <w:rPr>
          <w:rFonts w:asciiTheme="majorHAnsi" w:eastAsia="Cambria" w:hAnsiTheme="majorHAnsi" w:cs="Cambria"/>
        </w:rPr>
        <w:t>.</w:t>
      </w:r>
    </w:p>
    <w:p w14:paraId="50B4B29B" w14:textId="77777777" w:rsidR="00515C8B" w:rsidRPr="00515C8B" w:rsidRDefault="00515C8B" w:rsidP="00515C8B">
      <w:pPr>
        <w:ind w:firstLine="284"/>
        <w:jc w:val="both"/>
        <w:rPr>
          <w:rFonts w:asciiTheme="majorHAnsi" w:eastAsia="Cambria" w:hAnsiTheme="majorHAnsi" w:cs="Cambria"/>
        </w:rPr>
      </w:pPr>
      <w:r w:rsidRPr="00515C8B">
        <w:rPr>
          <w:rFonts w:asciiTheme="majorHAnsi" w:eastAsia="Cambria" w:hAnsiTheme="majorHAnsi" w:cs="Cambria"/>
        </w:rPr>
        <w:t xml:space="preserve">Although the KPK is authorized to investigate and investigate corruption cases among the military, in terms of prosecution, the KPK cannot take the case directly to the general court. If the suspect is a member of the military, then the case will be transferred to the Military Inspectorate for further processing at the Military Court. This collaboration establishes a unique mechanism to ensure that the military remains subject to national law while still being adjudicated within the military court system, in line with military discipline regulations </w:t>
      </w:r>
      <w:r w:rsidRPr="00515C8B">
        <w:rPr>
          <w:rFonts w:asciiTheme="majorHAnsi" w:eastAsia="Cambria" w:hAnsiTheme="majorHAnsi" w:cs="Cambria"/>
        </w:rPr>
        <w:fldChar w:fldCharType="begin" w:fldLock="1"/>
      </w:r>
      <w:r w:rsidRPr="00515C8B">
        <w:rPr>
          <w:rFonts w:asciiTheme="majorHAnsi" w:eastAsia="Cambria" w:hAnsiTheme="majorHAnsi" w:cs="Cambria"/>
        </w:rPr>
        <w:instrText>ADDIN CSL_CITATION {"citationItems":[{"id":"ITEM-1","itemData":{"abstract":"Era New normal ditandai sejak munculnya virus corona SARS-CoV-2 yang terkenal dengan istilah covid 19 yang berasal dari negara Wuhan China pada Tahun 2019 . Virus corona ini dengan cepat menyebar keseluruh dunia yang menyebakan pandemi global.Akibat Pandemi covid 19 ini terjadi perubahan gaya hidup sosial dengan memenuhi protokol kesehatan. Banyak Perusahaan yang kesulitan dalam menjalankan usahanya karena adanya pembatasan aktifitas yang dikeluarkan pemerintah seperti PSBB Dan PPKM. . Di era new normal saat ini merger dan akuisisi perusahaan merupakan salah satu alternatif untuk menjaga agar perusahaan tetap bertahan. Merger adalah penggabungan satu perseroan kepada perseroan lainya dan Akuisisi merupakan pengambilalihan saham suatu perseroan yang mengakibatkan beralihnya pengendalian atas perseroan tersebut. Setiap Pelaksanaan merger dan Akuisisi harus sesuai dengan peraturan yang berlaku untuk mencegah terjadinya Monopoli dan Persaingan Usaha Tidak Sehat. Praktek Merger dan Akuisisi wajib dinotifikasikan atau diberitahukan kepada Komisi Pengawasan Persaingan Usaha (KPPU). Pengaturan mengenai Merger dan Akuisisi perusahaan dari aspek Persaingan Usaha terdapat dalam Pasal 28 dan Pasal 29 Undang-Undang Nomor 5 Tahun 1999 , Peraturan Komisi Pengawas Persaingan (KPPU) No. 1 Tahun 2009, Peraturan Pemerintah No. 57 Tahun 2010 dan Peraturan KPPU No.3 Tahun 2019 . Dan Khusus pada masa new normal ini Pelaksanaan Notifikasi pelaksanaan merger dan akuisisi dapat dilakukan secara elektronik seperti yang diatur dalam Peraturan KPPU No. 1 tahun 2020.","author":[{"dropping-particle":"","family":"Nadirah","given":"Ida","non-dropping-particle":"","parse-names":false,"suffix":""}],"container-title":"Sintesa","id":"ITEM-1","issued":{"date-parts":[["2021"]]},"page":"226-245","title":"Perspektif Hukum Persaingan Usaha Terhadap Merger Dan Akuisisi Perusahaan Di Era New Normal","type":"article-journal","volume":"1"},"uris":["http://www.mendeley.com/documents/?uuid=caf99e38-9aef-44cd-926c-3aa321b446b4"]}],"mendeley":{"formattedCitation":"(Nadirah 2021)","plainTextFormattedCitation":"(Nadirah 2021)","previouslyFormattedCitation":"(Nadirah 2021)"},"properties":{"noteIndex":0},"schema":"https://github.com/citation-style-language/schema/raw/master/csl-citation.json"}</w:instrText>
      </w:r>
      <w:r w:rsidRPr="00515C8B">
        <w:rPr>
          <w:rFonts w:asciiTheme="majorHAnsi" w:eastAsia="Cambria" w:hAnsiTheme="majorHAnsi" w:cs="Cambria"/>
        </w:rPr>
        <w:fldChar w:fldCharType="separate"/>
      </w:r>
      <w:r w:rsidRPr="00515C8B">
        <w:rPr>
          <w:rFonts w:asciiTheme="majorHAnsi" w:eastAsia="Cambria" w:hAnsiTheme="majorHAnsi" w:cs="Cambria"/>
          <w:noProof/>
        </w:rPr>
        <w:t>(Nadirah 2021)</w:t>
      </w:r>
      <w:r w:rsidRPr="00515C8B">
        <w:rPr>
          <w:rFonts w:asciiTheme="majorHAnsi" w:eastAsia="Cambria" w:hAnsiTheme="majorHAnsi" w:cs="Cambria"/>
        </w:rPr>
        <w:fldChar w:fldCharType="end"/>
      </w:r>
      <w:r w:rsidRPr="00515C8B">
        <w:rPr>
          <w:rFonts w:asciiTheme="majorHAnsi" w:eastAsia="Cambria" w:hAnsiTheme="majorHAnsi" w:cs="Cambria"/>
        </w:rPr>
        <w:t>.</w:t>
      </w:r>
    </w:p>
    <w:p w14:paraId="422591C9" w14:textId="790CA88B" w:rsidR="00515C8B" w:rsidRPr="00E30712" w:rsidRDefault="00515C8B" w:rsidP="00E30712">
      <w:pPr>
        <w:ind w:firstLine="284"/>
        <w:jc w:val="both"/>
        <w:rPr>
          <w:rFonts w:asciiTheme="majorHAnsi" w:eastAsia="Cambria" w:hAnsiTheme="majorHAnsi" w:cs="Cambria"/>
        </w:rPr>
      </w:pPr>
      <w:r w:rsidRPr="00515C8B">
        <w:rPr>
          <w:rFonts w:asciiTheme="majorHAnsi" w:eastAsia="Cambria" w:hAnsiTheme="majorHAnsi" w:cs="Cambria"/>
        </w:rPr>
        <w:lastRenderedPageBreak/>
        <w:t xml:space="preserve">In addition to law enforcement, the KPK also plays a role in prevention through supervision of the procurement process of goods and services, including in the military environment </w:t>
      </w:r>
      <w:r w:rsidRPr="00515C8B">
        <w:rPr>
          <w:rFonts w:asciiTheme="majorHAnsi" w:eastAsia="Cambria" w:hAnsiTheme="majorHAnsi" w:cs="Cambria"/>
        </w:rPr>
        <w:fldChar w:fldCharType="begin" w:fldLock="1"/>
      </w:r>
      <w:r w:rsidRPr="00515C8B">
        <w:rPr>
          <w:rFonts w:asciiTheme="majorHAnsi" w:eastAsia="Cambria" w:hAnsiTheme="majorHAnsi" w:cs="Cambria"/>
        </w:rPr>
        <w:instrText>ADDIN CSL_CITATION {"citationItems":[{"id":"ITEM-1","itemData":{"DOI":"10.31078/jk1521","ISSN":"1829-7706","abstract":"Proses pemakzulan atau pemberhentian Presiden menurut UUD 1945 melibatkan secara aktif tiga lembaga negara berbeda, yaitu DPR, Mahkamah Konstitusi, dan MPR. Proses akhir dari pemberhentian Presiden bukanlah di tangan Mahkamah Konstitusi, namun terletak pada sidang istimewa MPR yang terdiri dari anggota DPR dan anggota DPD. Dengan demikian, anggota MPR yang berasal dari anggota DPD sebenarnya memiliki peran terbatas secara perorangan untuk turut serta menentukan pemberhentian Presiden karena tidak melibatkan DPD secara kelembagaan sebagai kamar kedua parlemen (second chamber). Oleh karenanya, penelitian ini bertujuan untuk memberikan analisis perbandingan mengenai sejauh mana peran kamar kedua parlemen dan kekuasaan kehakiman dalam proses pemberhentian Presiden di lima belas negara berbeda, baik terhadap negara yang menggunakan sistem pemerintahan presidensial, sistem parlementer, ataupun sistem campuran. Penelitian ini menggunakan metode kualitatif melalui pendekatan perbandingan konstitusi dengan bersumber pada studi kepustakaan. Berdasarkan analisis perbandingan yang dilakukan maka diperoleh kesimpulan bahwa kamar kedua parlemen di banyak negara memiliki peran sangat penting dalam menentukan pemberhentian Presiden. Kemudian, sebagian besar negara yang diteliti juga turut melibatkan kekuasaan kehakimannya melalui Mahkamah Konstitusi, Mahkamah Agung, atau Dewan Konstitusi. Lembaga ini menilai usulan atau dakwaan dari parlemen mengenai bersalah atau tidaknya Presiden atas dugaan pelanggaran konstitusi atau kejahatan pidana lainnya. Meskipun demikian, negara-negara tersebut umumnya tetap menyerahkan keputusan akhir mengenai pemberhentian Presiden kepada parlemen.The impeachment process against the President according to the 1945 Constitution of Indonesia actively involves three different state institutions, namely the House of Representative (DPR), the Constitutional Court (MK), and the People’s Consultative Assembly (MPR). The final process of the impeachment in Indonesia is not in the hand of the Constitutional Court, but it lies in a Special Session of the MPR consisting of members of the DPR and members of the Regional Representative Council (DPD). Thus, the individual role of the MPR members who come from the DPD members to participate in determining the impeachment of the President is limited because it does not involve the DPD institutionally as the second chamber of parliament. Therefore, this research aims to provide a comparative analysis concer…","author":[{"dropping-particle":"","family":"Faiz","given":"Pan Mohamad","non-dropping-particle":"","parse-names":false,"suffix":""},{"dropping-particle":"","family":"Redhani","given":"Muhammad Erfa","non-dropping-particle":"","parse-names":false,"suffix":""}],"container-title":"Jurnal Konstitusi","id":"ITEM-1","issue":"2","issued":{"date-parts":[["2018"]]},"page":"231","title":"Analisis Perbandingan Peran Kamar Kedua Parlemen dan Kekuasaan Kehakiman dalam Proses Pemberhentian Presiden","type":"article-journal","volume":"15"},"uris":["http://www.mendeley.com/documents/?uuid=63745852-5cb0-4f18-86dd-6de9897a960f"]}],"mendeley":{"formattedCitation":"(Faiz and Redhani 2018)","plainTextFormattedCitation":"(Faiz and Redhani 2018)","previouslyFormattedCitation":"(Faiz and Redhani 2018)"},"properties":{"noteIndex":0},"schema":"https://github.com/citation-style-language/schema/raw/master/csl-citation.json"}</w:instrText>
      </w:r>
      <w:r w:rsidRPr="00515C8B">
        <w:rPr>
          <w:rFonts w:asciiTheme="majorHAnsi" w:eastAsia="Cambria" w:hAnsiTheme="majorHAnsi" w:cs="Cambria"/>
        </w:rPr>
        <w:fldChar w:fldCharType="separate"/>
      </w:r>
      <w:r w:rsidRPr="00515C8B">
        <w:rPr>
          <w:rFonts w:asciiTheme="majorHAnsi" w:eastAsia="Cambria" w:hAnsiTheme="majorHAnsi" w:cs="Cambria"/>
          <w:noProof/>
        </w:rPr>
        <w:t>(Faiz and Redhani 2018)</w:t>
      </w:r>
      <w:r w:rsidRPr="00515C8B">
        <w:rPr>
          <w:rFonts w:asciiTheme="majorHAnsi" w:eastAsia="Cambria" w:hAnsiTheme="majorHAnsi" w:cs="Cambria"/>
        </w:rPr>
        <w:fldChar w:fldCharType="end"/>
      </w:r>
      <w:r w:rsidRPr="00515C8B">
        <w:rPr>
          <w:rFonts w:asciiTheme="majorHAnsi" w:eastAsia="Cambria" w:hAnsiTheme="majorHAnsi" w:cs="Cambria"/>
        </w:rPr>
        <w:t xml:space="preserve">. The KPK can provide recommendations related to strengthening military procurement governance, encouraging transparency, and ensuring that procurement is carried out in accordance with applicable procedures </w:t>
      </w:r>
      <w:r w:rsidRPr="00515C8B">
        <w:rPr>
          <w:rFonts w:asciiTheme="majorHAnsi" w:eastAsia="Cambria" w:hAnsiTheme="majorHAnsi" w:cs="Cambria"/>
        </w:rPr>
        <w:fldChar w:fldCharType="begin" w:fldLock="1"/>
      </w:r>
      <w:r w:rsidRPr="00515C8B">
        <w:rPr>
          <w:rFonts w:asciiTheme="majorHAnsi" w:eastAsia="Cambria" w:hAnsiTheme="majorHAnsi" w:cs="Cambria"/>
        </w:rPr>
        <w:instrText>ADDIN CSL_CITATION {"citationItems":[{"id":"ITEM-1","itemData":{"abstract":"Era New normal ditandai sejak munculnya virus corona SARS-CoV-2 yang terkenal dengan istilah covid 19 yang berasal dari negara Wuhan China pada Tahun 2019 . Virus corona ini dengan cepat menyebar keseluruh dunia yang menyebakan pandemi global.Akibat Pandemi covid 19 ini terjadi perubahan gaya hidup sosial dengan memenuhi protokol kesehatan. Banyak Perusahaan yang kesulitan dalam menjalankan usahanya karena adanya pembatasan aktifitas yang dikeluarkan pemerintah seperti PSBB Dan PPKM. . Di era new normal saat ini merger dan akuisisi perusahaan merupakan salah satu alternatif untuk menjaga agar perusahaan tetap bertahan. Merger adalah penggabungan satu perseroan kepada perseroan lainya dan Akuisisi merupakan pengambilalihan saham suatu perseroan yang mengakibatkan beralihnya pengendalian atas perseroan tersebut. Setiap Pelaksanaan merger dan Akuisisi harus sesuai dengan peraturan yang berlaku untuk mencegah terjadinya Monopoli dan Persaingan Usaha Tidak Sehat. Praktek Merger dan Akuisisi wajib dinotifikasikan atau diberitahukan kepada Komisi Pengawasan Persaingan Usaha (KPPU). Pengaturan mengenai Merger dan Akuisisi perusahaan dari aspek Persaingan Usaha terdapat dalam Pasal 28 dan Pasal 29 Undang-Undang Nomor 5 Tahun 1999 , Peraturan Komisi Pengawas Persaingan (KPPU) No. 1 Tahun 2009, Peraturan Pemerintah No. 57 Tahun 2010 dan Peraturan KPPU No.3 Tahun 2019 . Dan Khusus pada masa new normal ini Pelaksanaan Notifikasi pelaksanaan merger dan akuisisi dapat dilakukan secara elektronik seperti yang diatur dalam Peraturan KPPU No. 1 tahun 2020.","author":[{"dropping-particle":"","family":"Nadirah","given":"Ida","non-dropping-particle":"","parse-names":false,"suffix":""}],"container-title":"Sintesa","id":"ITEM-1","issued":{"date-parts":[["2021"]]},"page":"226-245","title":"Perspektif Hukum Persaingan Usaha Terhadap Merger Dan Akuisisi Perusahaan Di Era New Normal","type":"article-journal","volume":"1"},"uris":["http://www.mendeley.com/documents/?uuid=caf99e38-9aef-44cd-926c-3aa321b446b4"]}],"mendeley":{"formattedCitation":"(Nadirah 2021)","plainTextFormattedCitation":"(Nadirah 2021)","previouslyFormattedCitation":"(Nadirah 2021)"},"properties":{"noteIndex":0},"schema":"https://github.com/citation-style-language/schema/raw/master/csl-citation.json"}</w:instrText>
      </w:r>
      <w:r w:rsidRPr="00515C8B">
        <w:rPr>
          <w:rFonts w:asciiTheme="majorHAnsi" w:eastAsia="Cambria" w:hAnsiTheme="majorHAnsi" w:cs="Cambria"/>
        </w:rPr>
        <w:fldChar w:fldCharType="separate"/>
      </w:r>
      <w:r w:rsidRPr="00515C8B">
        <w:rPr>
          <w:rFonts w:asciiTheme="majorHAnsi" w:eastAsia="Cambria" w:hAnsiTheme="majorHAnsi" w:cs="Cambria"/>
          <w:noProof/>
        </w:rPr>
        <w:t>(Nadirah 2021)</w:t>
      </w:r>
      <w:r w:rsidRPr="00515C8B">
        <w:rPr>
          <w:rFonts w:asciiTheme="majorHAnsi" w:eastAsia="Cambria" w:hAnsiTheme="majorHAnsi" w:cs="Cambria"/>
        </w:rPr>
        <w:fldChar w:fldCharType="end"/>
      </w:r>
      <w:r w:rsidRPr="00515C8B">
        <w:rPr>
          <w:rFonts w:asciiTheme="majorHAnsi" w:eastAsia="Cambria" w:hAnsiTheme="majorHAnsi" w:cs="Cambria"/>
        </w:rPr>
        <w:t>.</w:t>
      </w:r>
    </w:p>
    <w:p w14:paraId="3656A183" w14:textId="77777777" w:rsidR="00515C8B" w:rsidRPr="00515C8B" w:rsidRDefault="00515C8B" w:rsidP="00515C8B">
      <w:pPr>
        <w:ind w:firstLine="284"/>
        <w:jc w:val="both"/>
        <w:rPr>
          <w:rFonts w:asciiTheme="majorHAnsi" w:eastAsia="Cambria" w:hAnsiTheme="majorHAnsi" w:cs="Cambria"/>
          <w:lang w:val="id-ID"/>
        </w:rPr>
      </w:pPr>
      <w:r w:rsidRPr="00515C8B">
        <w:rPr>
          <w:rFonts w:asciiTheme="majorHAnsi" w:eastAsia="Cambria" w:hAnsiTheme="majorHAnsi" w:cs="Cambria"/>
        </w:rPr>
        <w:t xml:space="preserve">In the context of corruption, the Military Police has the duty to conduct investigations and investigations against military personnel who are allegedly involved. The Military Police also has the authority to arrest and detain military personnel involved in corruption crimes. When there is a suspicion of corruption involving military members, the Military Police will initiate an internal investigation. They collect evidence, conduct interrogations, and compile investigation reports.  It is proven that there are elements of corruption, the case will be transferred to the Military Inspectorate to procesed to the prosecution process at the Military Court </w:t>
      </w:r>
      <w:r w:rsidRPr="00515C8B">
        <w:rPr>
          <w:rFonts w:asciiTheme="majorHAnsi" w:eastAsia="Cambria" w:hAnsiTheme="majorHAnsi" w:cs="Cambria"/>
        </w:rPr>
        <w:fldChar w:fldCharType="begin" w:fldLock="1"/>
      </w:r>
      <w:r w:rsidRPr="00515C8B">
        <w:rPr>
          <w:rFonts w:asciiTheme="majorHAnsi" w:eastAsia="Cambria" w:hAnsiTheme="majorHAnsi" w:cs="Cambria"/>
        </w:rPr>
        <w:instrText>ADDIN CSL_CITATION {"citationItems":[{"id":"ITEM-1","itemData":{"author":[{"dropping-particle":"","family":"Badu","given":"Lisnawaty W","non-dropping-particle":"","parse-names":false,"suffix":""},{"dropping-particle":"","family":"Apripari","given":"","non-dropping-particle":"","parse-names":false,"suffix":""}],"container-title":"Jurnal Legalitas","id":"ITEM-1","issue":"1","issued":{"date-parts":[["2022"]]},"page":"57-81","title":"Menggagas Tindak Pidana Militer Sebagai Kompetensi Absolut Peradilan Militer Dalam Perkara Pidana \"Initiating Military Criminal Acts As A Competence Of Military Justice Absolute In Criminal Crime\"","type":"article-journal","volume":"12"},"uris":["http://www.mendeley.com/documents/?uuid=7583ddbe-a638-4bdb-802d-688e3f7123bc"]}],"mendeley":{"formattedCitation":"(Badu and Apripari 2022)","plainTextFormattedCitation":"(Badu and Apripari 2022)","previouslyFormattedCitation":"(Badu and Apripari 2022)"},"properties":{"noteIndex":0},"schema":"https://github.com/citation-style-language/schema/raw/master/csl-citation.json"}</w:instrText>
      </w:r>
      <w:r w:rsidRPr="00515C8B">
        <w:rPr>
          <w:rFonts w:asciiTheme="majorHAnsi" w:eastAsia="Cambria" w:hAnsiTheme="majorHAnsi" w:cs="Cambria"/>
        </w:rPr>
        <w:fldChar w:fldCharType="separate"/>
      </w:r>
      <w:r w:rsidRPr="00515C8B">
        <w:rPr>
          <w:rFonts w:asciiTheme="majorHAnsi" w:eastAsia="Cambria" w:hAnsiTheme="majorHAnsi" w:cs="Cambria"/>
          <w:noProof/>
        </w:rPr>
        <w:t>(Badu and Apripari 2022)</w:t>
      </w:r>
      <w:r w:rsidRPr="00515C8B">
        <w:rPr>
          <w:rFonts w:asciiTheme="majorHAnsi" w:eastAsia="Cambria" w:hAnsiTheme="majorHAnsi" w:cs="Cambria"/>
        </w:rPr>
        <w:fldChar w:fldCharType="end"/>
      </w:r>
      <w:r w:rsidRPr="00515C8B">
        <w:rPr>
          <w:rFonts w:asciiTheme="majorHAnsi" w:eastAsia="Cambria" w:hAnsiTheme="majorHAnsi" w:cs="Cambria"/>
        </w:rPr>
        <w:t>.</w:t>
      </w:r>
    </w:p>
    <w:p w14:paraId="078034F4" w14:textId="77777777" w:rsidR="00515C8B" w:rsidRPr="00515C8B" w:rsidRDefault="00515C8B" w:rsidP="00515C8B">
      <w:pPr>
        <w:ind w:firstLine="284"/>
        <w:jc w:val="both"/>
        <w:rPr>
          <w:rFonts w:asciiTheme="majorHAnsi" w:eastAsia="Cambria" w:hAnsiTheme="majorHAnsi" w:cs="Cambria"/>
          <w:lang w:val="id-ID"/>
        </w:rPr>
      </w:pPr>
      <w:r w:rsidRPr="00515C8B">
        <w:rPr>
          <w:rFonts w:asciiTheme="majorHAnsi" w:eastAsia="Cambria" w:hAnsiTheme="majorHAnsi" w:cs="Cambria"/>
        </w:rPr>
        <w:t>The Military Police act as investigators in this regard, with special powers to interrogate military members and enforce military discipline, which distinguishes them from civilian law enforcement officials. In addition, the Military Police have better access into the military structure and understand its internal dynamics, making the investigation process more efficient. environment, the KPK and the Military Police have complementary roles and authorities. The KPK has broader authority in terms of investigations and investigations, especially if the case involves parties outside the military, such as contractors or government officials. Meanwhile, the Military Police focuses more on aspects of military discipline and conducts investigations into military personnel.</w:t>
      </w:r>
    </w:p>
    <w:p w14:paraId="22DC6FE8" w14:textId="77777777" w:rsidR="00515C8B" w:rsidRPr="00515C8B" w:rsidRDefault="00515C8B" w:rsidP="00515C8B">
      <w:pPr>
        <w:ind w:firstLine="284"/>
        <w:jc w:val="both"/>
        <w:rPr>
          <w:rFonts w:asciiTheme="majorHAnsi" w:eastAsia="Cambria" w:hAnsiTheme="majorHAnsi" w:cs="Cambria"/>
          <w:lang w:val="id-ID"/>
        </w:rPr>
      </w:pPr>
      <w:r w:rsidRPr="00515C8B">
        <w:rPr>
          <w:rFonts w:asciiTheme="majorHAnsi" w:eastAsia="Cambria" w:hAnsiTheme="majorHAnsi" w:cs="Cambria"/>
        </w:rPr>
        <w:t xml:space="preserve">This collaboration is crucial in handling cases involving military and civilian personnel simultaneously. The KPK can work closely with the Military Police to handle parts of cases involving military personnel, while the KPK handles parts involving civilians. This synergy is necessary to ensure that every perpetrator, both military and civilian, can be tried according to appropriate jurisdiction </w:t>
      </w:r>
      <w:r w:rsidRPr="00515C8B">
        <w:rPr>
          <w:rFonts w:asciiTheme="majorHAnsi" w:eastAsia="Cambria" w:hAnsiTheme="majorHAnsi" w:cs="Cambria"/>
        </w:rPr>
        <w:fldChar w:fldCharType="begin" w:fldLock="1"/>
      </w:r>
      <w:r w:rsidRPr="00515C8B">
        <w:rPr>
          <w:rFonts w:asciiTheme="majorHAnsi" w:eastAsia="Cambria" w:hAnsiTheme="majorHAnsi" w:cs="Cambria"/>
        </w:rPr>
        <w:instrText>ADDIN CSL_CITATION {"citationItems":[{"id":"ITEM-1","itemData":{"DOI":"10.22225/ah.2.3.2494.404-408","ISSN":"2716-2672","abstract":"Abstrak—Militer adalah orang yang dididik, dilatih dan dipersiapkan untuk bertempur.Warga Negara Indonesia yang dilantik menjadi Militer dalam melaksanakan tugasnya selain taat kepada nilai pancasila, sapta marga dan sumpah prajurit dituntut untuk selalu taat dan patuh pada semua peraturan-peraturan perundangan yang berlaku khusus bagi Anggota Militer.Anggota Militer yang terbukti melakukan pelanggaran hukum termasuk tindak pidana korupsi harus ditindak sesuai ketentuan hukum yang berlaku.Adapun rumusan masalah (1)Bagaimanakah pemeriksaan Tindak Pidana Korupsi yang dilakukan oleh Anggota Militer? (2)Bagaimanakah kewenangan mengadili Tindak Pidana Korupsi terhadap Anggota Militer? Penelitian ini mempergunakan metode normatif, pendekatan secara perundang-undangan, pendekatan konseptual, bahan hukum primer, bahan hukum sekunder, bahan hukum tersier, studi dokumen, studi kepustakaan, studi internet serta analisis interpretasi hukum dan analisis deskriptif.Proses pemeriksaan pada pengadilan militer sebenarnya sama dengan peradilan umum, tetapi sebutan untuk penyidik dan penuntut umumnya berbeda.Dalammenemukan peradilan mana yang digunakan untuk menangani perkara koneksitas, dapat diliat dari kerugian yang diakibatkan dari perbuatan pidana tersebut.Hakim dalam menjatuhkan hukuman kepada anggota militer yang melakukan tindak pidana korupsi harus sama dengan pelaku pada pengadilan tindak pidana korupsi.\r  ","author":[{"dropping-particle":"","family":"Wijana","given":"Kadek","non-dropping-particle":"","parse-names":false,"suffix":""},{"dropping-particle":"","family":"Sepud","given":"I Made","non-dropping-particle":"","parse-names":false,"suffix":""},{"dropping-particle":"","family":"Dewi","given":"Anak Agung Sagung Laksmi","non-dropping-particle":"","parse-names":false,"suffix":""}],"container-title":"Jurnal Analogi Hukum","id":"ITEM-1","issue":"3","issued":{"date-parts":[["2020"]]},"page":"404-408","title":"Peradilan Tindak Pidana Korupsi Bagi Anggota Militer","type":"article-journal","volume":"2"},"uris":["http://www.mendeley.com/documents/?uuid=3885ef8a-5303-4969-842b-e480bdac0786"]}],"mendeley":{"formattedCitation":"(Wijana et al. 2020)","plainTextFormattedCitation":"(Wijana et al. 2020)","previouslyFormattedCitation":"(Wijana et al. 2020)"},"properties":{"noteIndex":0},"schema":"https://github.com/citation-style-language/schema/raw/master/csl-citation.json"}</w:instrText>
      </w:r>
      <w:r w:rsidRPr="00515C8B">
        <w:rPr>
          <w:rFonts w:asciiTheme="majorHAnsi" w:eastAsia="Cambria" w:hAnsiTheme="majorHAnsi" w:cs="Cambria"/>
        </w:rPr>
        <w:fldChar w:fldCharType="separate"/>
      </w:r>
      <w:r w:rsidRPr="00515C8B">
        <w:rPr>
          <w:rFonts w:asciiTheme="majorHAnsi" w:eastAsia="Cambria" w:hAnsiTheme="majorHAnsi" w:cs="Cambria"/>
          <w:noProof/>
        </w:rPr>
        <w:t>(Wijana et al. 2020)</w:t>
      </w:r>
      <w:r w:rsidRPr="00515C8B">
        <w:rPr>
          <w:rFonts w:asciiTheme="majorHAnsi" w:eastAsia="Cambria" w:hAnsiTheme="majorHAnsi" w:cs="Cambria"/>
        </w:rPr>
        <w:fldChar w:fldCharType="end"/>
      </w:r>
      <w:r w:rsidRPr="00515C8B">
        <w:rPr>
          <w:rFonts w:asciiTheme="majorHAnsi" w:eastAsia="Cambria" w:hAnsiTheme="majorHAnsi" w:cs="Cambria"/>
        </w:rPr>
        <w:t>.</w:t>
      </w:r>
    </w:p>
    <w:p w14:paraId="4731F7E3" w14:textId="77777777" w:rsidR="00515C8B" w:rsidRDefault="00515C8B" w:rsidP="00515C8B">
      <w:pPr>
        <w:tabs>
          <w:tab w:val="left" w:pos="1590"/>
        </w:tabs>
        <w:ind w:firstLine="284"/>
        <w:jc w:val="both"/>
        <w:rPr>
          <w:rFonts w:asciiTheme="majorHAnsi" w:eastAsia="Cambria" w:hAnsiTheme="majorHAnsi" w:cs="Cambria"/>
        </w:rPr>
      </w:pPr>
    </w:p>
    <w:p w14:paraId="6F3332CF" w14:textId="24B151AA" w:rsidR="0010486D" w:rsidRPr="00A52DA3" w:rsidRDefault="0010486D" w:rsidP="0010486D">
      <w:pPr>
        <w:ind w:left="284" w:hanging="284"/>
        <w:rPr>
          <w:rFonts w:ascii="Cambria" w:eastAsia="Cambria" w:hAnsi="Cambria" w:cs="Cambria"/>
          <w:b/>
          <w:sz w:val="24"/>
          <w:szCs w:val="24"/>
        </w:rPr>
      </w:pPr>
      <w:r w:rsidRPr="00A52DA3">
        <w:rPr>
          <w:rFonts w:ascii="Cambria" w:eastAsia="Cambria" w:hAnsi="Cambria" w:cs="Cambria"/>
          <w:b/>
          <w:sz w:val="24"/>
          <w:szCs w:val="24"/>
        </w:rPr>
        <w:t>Conclusion</w:t>
      </w:r>
    </w:p>
    <w:p w14:paraId="1A311E52" w14:textId="77777777" w:rsidR="0010486D" w:rsidRPr="00EC5B4F" w:rsidRDefault="0010486D" w:rsidP="0010486D">
      <w:pPr>
        <w:ind w:left="284" w:firstLine="284"/>
        <w:jc w:val="both"/>
        <w:rPr>
          <w:rFonts w:ascii="Cambria" w:eastAsia="Cambria" w:hAnsi="Cambria" w:cs="Cambria"/>
        </w:rPr>
      </w:pPr>
    </w:p>
    <w:p w14:paraId="07DCAC44" w14:textId="51BDFAB3" w:rsidR="00E30712" w:rsidRPr="00E30712" w:rsidRDefault="00E30712" w:rsidP="00E30712">
      <w:pPr>
        <w:ind w:firstLine="284"/>
        <w:jc w:val="both"/>
        <w:rPr>
          <w:rFonts w:asciiTheme="majorHAnsi" w:eastAsia="Cambria" w:hAnsiTheme="majorHAnsi" w:cs="Cambria"/>
        </w:rPr>
      </w:pPr>
      <w:r w:rsidRPr="00E30712">
        <w:rPr>
          <w:rFonts w:asciiTheme="majorHAnsi" w:eastAsia="Cambria" w:hAnsiTheme="majorHAnsi" w:cs="Cambria"/>
        </w:rPr>
        <w:t>The handling of corruption in the procurement of goods and services in military courts shows the importance of integration between the rules of general criminal and military law. Military courts play a crucial role in maintaining the rule of law in the military environment by applying strict legal standards and high discipline. The KPK and the Military Police have an important role in eradicating corruption in the procurement of good and services in the military environment. The KPK, with its broad authority, can conduct corruption investigations and prevention at the national level, including in the military environment. Meanwhile, the Military Police acts as an internal law enforcer who maintains discipline and order among the military. Collaboration between the KPK and the Military Police is urgently needed to ensure that corruption crimes in the military environment can be handled effectively and fairly. Despite the challenges in terms of transparency and legal procedures, the synergy between these two institutions is an important step in realizing clean and accountable governance, both in civilian and military environments.</w:t>
      </w:r>
    </w:p>
    <w:p w14:paraId="5E1C2E33" w14:textId="77777777" w:rsidR="00E30712" w:rsidRPr="000245FE" w:rsidRDefault="00E30712" w:rsidP="000245FE">
      <w:pPr>
        <w:ind w:firstLine="284"/>
        <w:jc w:val="both"/>
        <w:rPr>
          <w:rFonts w:ascii="Cambria" w:hAnsi="Cambria"/>
        </w:rPr>
      </w:pPr>
    </w:p>
    <w:p w14:paraId="68F5EC85" w14:textId="77777777" w:rsidR="002F7D7E" w:rsidRPr="008E38A4" w:rsidRDefault="002F7D7E" w:rsidP="00397AC9">
      <w:pPr>
        <w:jc w:val="both"/>
        <w:rPr>
          <w:rFonts w:ascii="Cambria" w:hAnsi="Cambria"/>
        </w:rPr>
      </w:pPr>
    </w:p>
    <w:p w14:paraId="1AF2EBB7" w14:textId="44C035D8" w:rsidR="00E30712" w:rsidRPr="00E30712" w:rsidRDefault="00425F0C" w:rsidP="00E30712">
      <w:pPr>
        <w:spacing w:after="120"/>
        <w:ind w:left="284" w:hanging="284"/>
        <w:rPr>
          <w:szCs w:val="24"/>
        </w:rPr>
      </w:pPr>
      <w:bookmarkStart w:id="2" w:name="References"/>
      <w:r w:rsidRPr="00434ED8">
        <w:rPr>
          <w:rFonts w:ascii="Cambria" w:hAnsi="Cambria"/>
          <w:b/>
          <w:sz w:val="24"/>
          <w:szCs w:val="24"/>
          <w:lang w:val="id-ID"/>
        </w:rPr>
        <w:t>References</w:t>
      </w:r>
      <w:bookmarkEnd w:id="2"/>
      <w:r w:rsidR="000245FE" w:rsidRPr="000245FE">
        <w:rPr>
          <w:rFonts w:ascii="Cambria" w:eastAsia="Cambria" w:hAnsi="Cambria" w:cs="Cambria"/>
        </w:rPr>
        <w:fldChar w:fldCharType="begin" w:fldLock="1"/>
      </w:r>
      <w:r w:rsidR="000245FE" w:rsidRPr="000245FE">
        <w:rPr>
          <w:rFonts w:ascii="Cambria" w:eastAsia="Cambria" w:hAnsi="Cambria" w:cs="Cambria"/>
        </w:rPr>
        <w:instrText xml:space="preserve">ADDIN Mendeley Bibliography CSL_BIBLIOGRAPHY </w:instrText>
      </w:r>
      <w:r w:rsidR="000245FE" w:rsidRPr="000245FE">
        <w:rPr>
          <w:rFonts w:ascii="Cambria" w:eastAsia="Cambria" w:hAnsi="Cambria" w:cs="Cambria"/>
        </w:rPr>
        <w:fldChar w:fldCharType="separate"/>
      </w:r>
    </w:p>
    <w:p w14:paraId="706AC753" w14:textId="77777777" w:rsidR="00E30712" w:rsidRPr="00485503" w:rsidRDefault="00E30712" w:rsidP="00E30712">
      <w:pPr>
        <w:widowControl w:val="0"/>
        <w:autoSpaceDE w:val="0"/>
        <w:autoSpaceDN w:val="0"/>
        <w:adjustRightInd w:val="0"/>
        <w:ind w:left="480" w:hanging="480"/>
        <w:jc w:val="both"/>
        <w:rPr>
          <w:rFonts w:ascii="Cambria" w:hAnsi="Cambria"/>
          <w:noProof/>
          <w:szCs w:val="24"/>
        </w:rPr>
      </w:pPr>
      <w:r w:rsidRPr="00485503">
        <w:rPr>
          <w:rFonts w:ascii="Cambria" w:hAnsi="Cambria"/>
          <w:noProof/>
          <w:szCs w:val="24"/>
        </w:rPr>
        <w:t xml:space="preserve">Badu, Lisnawaty W., and Apripari. 2022. “Menggagas Tindak Pidana Militer Sebagai Kompetensi Absolut Peradilan Militer Dalam Perkara Pidana ‘Initiating Military Criminal Acts As A Competence Of Military Justice Absolute In Criminal Crime.’” </w:t>
      </w:r>
      <w:r w:rsidRPr="00485503">
        <w:rPr>
          <w:rFonts w:ascii="Cambria" w:hAnsi="Cambria"/>
          <w:i/>
          <w:iCs/>
          <w:noProof/>
          <w:szCs w:val="24"/>
        </w:rPr>
        <w:t>Jurnal Legalitas</w:t>
      </w:r>
      <w:r w:rsidRPr="00485503">
        <w:rPr>
          <w:rFonts w:ascii="Cambria" w:hAnsi="Cambria"/>
          <w:noProof/>
          <w:szCs w:val="24"/>
        </w:rPr>
        <w:t xml:space="preserve"> 12(1):57–81.</w:t>
      </w:r>
    </w:p>
    <w:p w14:paraId="186BFBA2" w14:textId="2DF54E72" w:rsidR="00CA51D3" w:rsidRPr="00485503" w:rsidRDefault="00CA51D3" w:rsidP="00E30712">
      <w:pPr>
        <w:widowControl w:val="0"/>
        <w:autoSpaceDE w:val="0"/>
        <w:autoSpaceDN w:val="0"/>
        <w:adjustRightInd w:val="0"/>
        <w:ind w:left="480" w:hanging="480"/>
        <w:jc w:val="both"/>
        <w:rPr>
          <w:rFonts w:ascii="Cambria" w:hAnsi="Cambria"/>
          <w:noProof/>
          <w:szCs w:val="24"/>
        </w:rPr>
      </w:pPr>
      <w:r w:rsidRPr="00CA51D3">
        <w:rPr>
          <w:rFonts w:ascii="Cambria" w:hAnsi="Cambria"/>
          <w:noProof/>
          <w:szCs w:val="24"/>
        </w:rPr>
        <w:t>Bayusuta, B. B., &amp; Suwanto, Y. 2022. Analisis yuridis undang-undang tindak pidana kekerasan seksual dalam penegakan hukum di Indonesia. </w:t>
      </w:r>
      <w:r w:rsidRPr="00CA51D3">
        <w:rPr>
          <w:rFonts w:ascii="Cambria" w:hAnsi="Cambria"/>
          <w:i/>
          <w:iCs/>
          <w:noProof/>
          <w:szCs w:val="24"/>
        </w:rPr>
        <w:t>Souvereignty</w:t>
      </w:r>
      <w:r w:rsidRPr="00CA51D3">
        <w:rPr>
          <w:rFonts w:ascii="Cambria" w:hAnsi="Cambria"/>
          <w:noProof/>
          <w:szCs w:val="24"/>
        </w:rPr>
        <w:t>, </w:t>
      </w:r>
      <w:r w:rsidRPr="00CA51D3">
        <w:rPr>
          <w:rFonts w:ascii="Cambria" w:hAnsi="Cambria"/>
          <w:i/>
          <w:iCs/>
          <w:noProof/>
          <w:szCs w:val="24"/>
        </w:rPr>
        <w:t>1</w:t>
      </w:r>
      <w:r w:rsidRPr="00CA51D3">
        <w:rPr>
          <w:rFonts w:ascii="Cambria" w:hAnsi="Cambria"/>
          <w:noProof/>
          <w:szCs w:val="24"/>
        </w:rPr>
        <w:t>(1), 37-43.</w:t>
      </w:r>
    </w:p>
    <w:p w14:paraId="4946C000" w14:textId="77777777" w:rsidR="00E30712" w:rsidRPr="00485503" w:rsidRDefault="00E30712" w:rsidP="00E30712">
      <w:pPr>
        <w:widowControl w:val="0"/>
        <w:autoSpaceDE w:val="0"/>
        <w:autoSpaceDN w:val="0"/>
        <w:adjustRightInd w:val="0"/>
        <w:ind w:left="480" w:hanging="480"/>
        <w:jc w:val="both"/>
        <w:rPr>
          <w:rFonts w:ascii="Cambria" w:hAnsi="Cambria"/>
          <w:noProof/>
          <w:szCs w:val="24"/>
        </w:rPr>
      </w:pPr>
      <w:r w:rsidRPr="00485503">
        <w:rPr>
          <w:rFonts w:ascii="Cambria" w:hAnsi="Cambria"/>
          <w:noProof/>
          <w:szCs w:val="24"/>
        </w:rPr>
        <w:t xml:space="preserve">Bunga, Marten, Mustating Dg Maroa, Amelia Arief, and Hardianto Djanggih. 2019. “Urgensi Peran Serta Masyarakat Dalam Upaya Pencegahan Dan Pemberantasan Tindak Pidana Korupsi.” </w:t>
      </w:r>
      <w:r w:rsidRPr="00485503">
        <w:rPr>
          <w:rFonts w:ascii="Cambria" w:hAnsi="Cambria"/>
          <w:i/>
          <w:iCs/>
          <w:noProof/>
          <w:szCs w:val="24"/>
        </w:rPr>
        <w:t>Law Reform: Jurnal Pembaharuan Hukum</w:t>
      </w:r>
      <w:r w:rsidRPr="00485503">
        <w:rPr>
          <w:rFonts w:ascii="Cambria" w:hAnsi="Cambria"/>
          <w:noProof/>
          <w:szCs w:val="24"/>
        </w:rPr>
        <w:t xml:space="preserve"> 15(1):85–97. doi: 10.14710/lr.v15i1.23356.</w:t>
      </w:r>
    </w:p>
    <w:p w14:paraId="3A408A08" w14:textId="77777777" w:rsidR="00E30712" w:rsidRPr="00485503" w:rsidRDefault="00E30712" w:rsidP="00E30712">
      <w:pPr>
        <w:widowControl w:val="0"/>
        <w:autoSpaceDE w:val="0"/>
        <w:autoSpaceDN w:val="0"/>
        <w:adjustRightInd w:val="0"/>
        <w:ind w:left="480" w:hanging="480"/>
        <w:jc w:val="both"/>
        <w:rPr>
          <w:rFonts w:ascii="Cambria" w:hAnsi="Cambria"/>
          <w:noProof/>
          <w:szCs w:val="24"/>
        </w:rPr>
      </w:pPr>
      <w:r w:rsidRPr="00485503">
        <w:rPr>
          <w:rFonts w:ascii="Cambria" w:hAnsi="Cambria"/>
          <w:noProof/>
          <w:szCs w:val="24"/>
        </w:rPr>
        <w:t xml:space="preserve">Dewi, Vania Oktaviani, and Irwan Triadi. 2023. “Penyelesaian Tindak Pidana Korupsi Oleh Subjek Militer Saat Sedang Menduduki Jabatan Sipil.” </w:t>
      </w:r>
      <w:r w:rsidRPr="00485503">
        <w:rPr>
          <w:rFonts w:ascii="Cambria" w:hAnsi="Cambria"/>
          <w:i/>
          <w:iCs/>
          <w:noProof/>
          <w:szCs w:val="24"/>
        </w:rPr>
        <w:t>Hakim: Jurnal Ilmu Hukum Dan Sosial</w:t>
      </w:r>
      <w:r w:rsidRPr="00485503">
        <w:rPr>
          <w:rFonts w:ascii="Cambria" w:hAnsi="Cambria"/>
          <w:noProof/>
          <w:szCs w:val="24"/>
        </w:rPr>
        <w:t xml:space="preserve"> 1(4):197.</w:t>
      </w:r>
    </w:p>
    <w:p w14:paraId="58FC1A10" w14:textId="77777777" w:rsidR="00E30712" w:rsidRPr="00485503" w:rsidRDefault="00E30712" w:rsidP="00E30712">
      <w:pPr>
        <w:widowControl w:val="0"/>
        <w:autoSpaceDE w:val="0"/>
        <w:autoSpaceDN w:val="0"/>
        <w:adjustRightInd w:val="0"/>
        <w:ind w:left="480" w:hanging="480"/>
        <w:jc w:val="both"/>
        <w:rPr>
          <w:rFonts w:ascii="Cambria" w:hAnsi="Cambria"/>
          <w:noProof/>
          <w:szCs w:val="24"/>
        </w:rPr>
      </w:pPr>
      <w:r w:rsidRPr="00485503">
        <w:rPr>
          <w:rFonts w:ascii="Cambria" w:hAnsi="Cambria"/>
          <w:noProof/>
          <w:szCs w:val="24"/>
        </w:rPr>
        <w:t xml:space="preserve">Faiz, Pan Mohamad, and Muhammad Erfa Redhani. 2018. “Analisis Perbandingan Peran Kamar Kedua Parlemen </w:t>
      </w:r>
      <w:r w:rsidRPr="00485503">
        <w:rPr>
          <w:rFonts w:ascii="Cambria" w:hAnsi="Cambria"/>
          <w:noProof/>
          <w:szCs w:val="24"/>
        </w:rPr>
        <w:lastRenderedPageBreak/>
        <w:t xml:space="preserve">Dan Kekuasaan Kehakiman Dalam Proses Pemberhentian Presiden.” </w:t>
      </w:r>
      <w:r w:rsidRPr="00485503">
        <w:rPr>
          <w:rFonts w:ascii="Cambria" w:hAnsi="Cambria"/>
          <w:i/>
          <w:iCs/>
          <w:noProof/>
          <w:szCs w:val="24"/>
        </w:rPr>
        <w:t>Jurnal Konstitusi</w:t>
      </w:r>
      <w:r w:rsidRPr="00485503">
        <w:rPr>
          <w:rFonts w:ascii="Cambria" w:hAnsi="Cambria"/>
          <w:noProof/>
          <w:szCs w:val="24"/>
        </w:rPr>
        <w:t xml:space="preserve"> 15(2):231. doi: 10.31078/jk1521.</w:t>
      </w:r>
    </w:p>
    <w:p w14:paraId="5A80CAC0" w14:textId="77777777" w:rsidR="00E30712" w:rsidRPr="00485503" w:rsidRDefault="00E30712" w:rsidP="00E30712">
      <w:pPr>
        <w:widowControl w:val="0"/>
        <w:autoSpaceDE w:val="0"/>
        <w:autoSpaceDN w:val="0"/>
        <w:adjustRightInd w:val="0"/>
        <w:ind w:left="480" w:hanging="480"/>
        <w:jc w:val="both"/>
        <w:rPr>
          <w:rFonts w:ascii="Cambria" w:hAnsi="Cambria"/>
          <w:noProof/>
          <w:szCs w:val="24"/>
        </w:rPr>
      </w:pPr>
      <w:r w:rsidRPr="00485503">
        <w:rPr>
          <w:rFonts w:ascii="Cambria" w:hAnsi="Cambria"/>
          <w:noProof/>
          <w:szCs w:val="24"/>
        </w:rPr>
        <w:t xml:space="preserve">Hengstz, Yaenet Monica. 2016. “Penegakan Hukum Pidana Terhadap Kelalaian Pengemudi Yang Menimbulkan Kecelakaan Di Jalan Raya.” </w:t>
      </w:r>
      <w:r w:rsidRPr="00485503">
        <w:rPr>
          <w:rFonts w:ascii="Cambria" w:hAnsi="Cambria"/>
          <w:i/>
          <w:iCs/>
          <w:noProof/>
          <w:szCs w:val="24"/>
        </w:rPr>
        <w:t>Lex Crimen</w:t>
      </w:r>
      <w:r w:rsidRPr="00485503">
        <w:rPr>
          <w:rFonts w:ascii="Cambria" w:hAnsi="Cambria"/>
          <w:noProof/>
          <w:szCs w:val="24"/>
        </w:rPr>
        <w:t xml:space="preserve"> V(1):107–15.</w:t>
      </w:r>
    </w:p>
    <w:p w14:paraId="19EF1A05" w14:textId="759164D9" w:rsidR="00E30712" w:rsidRPr="00485503" w:rsidRDefault="00E30712" w:rsidP="00E30712">
      <w:pPr>
        <w:widowControl w:val="0"/>
        <w:autoSpaceDE w:val="0"/>
        <w:autoSpaceDN w:val="0"/>
        <w:adjustRightInd w:val="0"/>
        <w:ind w:left="480" w:hanging="480"/>
        <w:jc w:val="both"/>
        <w:rPr>
          <w:rFonts w:ascii="Cambria" w:hAnsi="Cambria"/>
          <w:noProof/>
          <w:szCs w:val="24"/>
        </w:rPr>
      </w:pPr>
      <w:r w:rsidRPr="00485503">
        <w:rPr>
          <w:rFonts w:ascii="Cambria" w:hAnsi="Cambria"/>
          <w:noProof/>
          <w:szCs w:val="24"/>
        </w:rPr>
        <w:t>Hukum, Fakultas, and Universitas Cokroaminoto. n.d. “</w:t>
      </w:r>
      <w:r w:rsidR="009C2D23" w:rsidRPr="00485503">
        <w:rPr>
          <w:rFonts w:ascii="Cambria" w:hAnsi="Cambria"/>
          <w:noProof/>
          <w:szCs w:val="24"/>
        </w:rPr>
        <w:t>Mengadili Tindak Pidana Korupsi Yang Dilakukan Oleh Anggota Militer Bersama-Sama Dengan Orang Sipil</w:t>
      </w:r>
      <w:r w:rsidRPr="00485503">
        <w:rPr>
          <w:rFonts w:ascii="Cambria" w:hAnsi="Cambria"/>
          <w:noProof/>
          <w:szCs w:val="24"/>
        </w:rPr>
        <w:t xml:space="preserve"> Jalan Perintis Kemerdekaan , Kec . Umbulharjo , Kota Yogyakarta , Email : Edy36013@gmail.Com.” (Vii).</w:t>
      </w:r>
    </w:p>
    <w:p w14:paraId="04C5E55F" w14:textId="77777777" w:rsidR="00E30712" w:rsidRPr="00485503" w:rsidRDefault="00E30712" w:rsidP="00E30712">
      <w:pPr>
        <w:widowControl w:val="0"/>
        <w:autoSpaceDE w:val="0"/>
        <w:autoSpaceDN w:val="0"/>
        <w:adjustRightInd w:val="0"/>
        <w:ind w:left="480" w:hanging="480"/>
        <w:jc w:val="both"/>
        <w:rPr>
          <w:rFonts w:ascii="Cambria" w:hAnsi="Cambria"/>
          <w:noProof/>
          <w:szCs w:val="24"/>
        </w:rPr>
      </w:pPr>
      <w:r w:rsidRPr="00485503">
        <w:rPr>
          <w:rFonts w:ascii="Cambria" w:hAnsi="Cambria"/>
          <w:noProof/>
          <w:szCs w:val="24"/>
        </w:rPr>
        <w:t xml:space="preserve">Muhammad Dani Ihkam, I. Gusti Ngurah Parwata. 2020. “Tindak Pidana Cyber Bullying Dalam Perspektif Hukum Pidana Di Indonesia.” </w:t>
      </w:r>
      <w:r w:rsidRPr="00485503">
        <w:rPr>
          <w:rFonts w:ascii="Cambria" w:hAnsi="Cambria"/>
          <w:i/>
          <w:iCs/>
          <w:noProof/>
          <w:szCs w:val="24"/>
        </w:rPr>
        <w:t>Jurnal Harian Regional</w:t>
      </w:r>
      <w:r w:rsidRPr="00485503">
        <w:rPr>
          <w:rFonts w:ascii="Cambria" w:hAnsi="Cambria"/>
          <w:noProof/>
          <w:szCs w:val="24"/>
        </w:rPr>
        <w:t xml:space="preserve"> 9(11):1–10.</w:t>
      </w:r>
    </w:p>
    <w:p w14:paraId="36FD1FCA" w14:textId="77777777" w:rsidR="00E30712" w:rsidRPr="00485503" w:rsidRDefault="00E30712" w:rsidP="00E30712">
      <w:pPr>
        <w:widowControl w:val="0"/>
        <w:autoSpaceDE w:val="0"/>
        <w:autoSpaceDN w:val="0"/>
        <w:adjustRightInd w:val="0"/>
        <w:ind w:left="480" w:hanging="480"/>
        <w:jc w:val="both"/>
        <w:rPr>
          <w:rFonts w:ascii="Cambria" w:hAnsi="Cambria"/>
          <w:noProof/>
          <w:szCs w:val="24"/>
        </w:rPr>
      </w:pPr>
      <w:r w:rsidRPr="00485503">
        <w:rPr>
          <w:rFonts w:ascii="Cambria" w:hAnsi="Cambria"/>
          <w:noProof/>
          <w:szCs w:val="24"/>
        </w:rPr>
        <w:t xml:space="preserve">Nadirah, Ida. 2021. “Perspektif Hukum Persaingan Usaha Terhadap Merger Dan Akuisisi Perusahaan Di Era New Normal.” </w:t>
      </w:r>
      <w:r w:rsidRPr="00485503">
        <w:rPr>
          <w:rFonts w:ascii="Cambria" w:hAnsi="Cambria"/>
          <w:i/>
          <w:iCs/>
          <w:noProof/>
          <w:szCs w:val="24"/>
        </w:rPr>
        <w:t>Sintesa</w:t>
      </w:r>
      <w:r w:rsidRPr="00485503">
        <w:rPr>
          <w:rFonts w:ascii="Cambria" w:hAnsi="Cambria"/>
          <w:noProof/>
          <w:szCs w:val="24"/>
        </w:rPr>
        <w:t xml:space="preserve"> 1:226–45.</w:t>
      </w:r>
    </w:p>
    <w:p w14:paraId="27B95DA7" w14:textId="7E34414E" w:rsidR="00E30712" w:rsidRPr="00485503" w:rsidRDefault="00E30712" w:rsidP="00E30712">
      <w:pPr>
        <w:widowControl w:val="0"/>
        <w:autoSpaceDE w:val="0"/>
        <w:autoSpaceDN w:val="0"/>
        <w:adjustRightInd w:val="0"/>
        <w:ind w:left="480" w:hanging="480"/>
        <w:jc w:val="both"/>
        <w:rPr>
          <w:rFonts w:ascii="Cambria" w:hAnsi="Cambria"/>
          <w:noProof/>
          <w:szCs w:val="24"/>
        </w:rPr>
      </w:pPr>
      <w:r w:rsidRPr="00485503">
        <w:rPr>
          <w:rFonts w:ascii="Cambria" w:hAnsi="Cambria"/>
          <w:noProof/>
          <w:szCs w:val="24"/>
        </w:rPr>
        <w:t>Pakasi, Dean Raphael, and Daniel Franzel Aling. 2013. “</w:t>
      </w:r>
      <w:r w:rsidR="009C2D23" w:rsidRPr="00485503">
        <w:rPr>
          <w:rFonts w:ascii="Cambria" w:hAnsi="Cambria"/>
          <w:noProof/>
          <w:szCs w:val="24"/>
        </w:rPr>
        <w:t>Penindakan Hukum Tentang Tindak Pidana Korupsi Oleh Militer Yang Menduduki Jabatan Sipil</w:t>
      </w:r>
      <w:r w:rsidRPr="00485503">
        <w:rPr>
          <w:rFonts w:ascii="Cambria" w:hAnsi="Cambria"/>
          <w:noProof/>
          <w:szCs w:val="24"/>
        </w:rPr>
        <w:t xml:space="preserve">.” </w:t>
      </w:r>
      <w:r w:rsidRPr="00485503">
        <w:rPr>
          <w:rFonts w:ascii="Cambria" w:hAnsi="Cambria"/>
          <w:i/>
          <w:iCs/>
          <w:noProof/>
          <w:szCs w:val="24"/>
        </w:rPr>
        <w:t>Lex_Privatum</w:t>
      </w:r>
      <w:r w:rsidRPr="00485503">
        <w:rPr>
          <w:rFonts w:ascii="Cambria" w:hAnsi="Cambria"/>
          <w:noProof/>
          <w:szCs w:val="24"/>
        </w:rPr>
        <w:t xml:space="preserve"> 1.</w:t>
      </w:r>
    </w:p>
    <w:p w14:paraId="0D4A9E45" w14:textId="77777777" w:rsidR="00E30712" w:rsidRPr="00485503" w:rsidRDefault="00E30712" w:rsidP="00E30712">
      <w:pPr>
        <w:widowControl w:val="0"/>
        <w:autoSpaceDE w:val="0"/>
        <w:autoSpaceDN w:val="0"/>
        <w:adjustRightInd w:val="0"/>
        <w:ind w:left="480" w:hanging="480"/>
        <w:jc w:val="both"/>
        <w:rPr>
          <w:rFonts w:ascii="Cambria" w:hAnsi="Cambria"/>
          <w:noProof/>
          <w:szCs w:val="24"/>
        </w:rPr>
      </w:pPr>
      <w:r w:rsidRPr="00485503">
        <w:rPr>
          <w:rFonts w:ascii="Cambria" w:hAnsi="Cambria"/>
          <w:noProof/>
          <w:szCs w:val="24"/>
        </w:rPr>
        <w:t xml:space="preserve">Peter Mahmud Marzuki. 2016. </w:t>
      </w:r>
      <w:r w:rsidRPr="00485503">
        <w:rPr>
          <w:rFonts w:ascii="Cambria" w:hAnsi="Cambria"/>
          <w:i/>
          <w:iCs/>
          <w:noProof/>
          <w:szCs w:val="24"/>
        </w:rPr>
        <w:t>Metode Penelitian Hukum</w:t>
      </w:r>
      <w:r w:rsidRPr="00485503">
        <w:rPr>
          <w:rFonts w:ascii="Cambria" w:hAnsi="Cambria"/>
          <w:noProof/>
          <w:szCs w:val="24"/>
        </w:rPr>
        <w:t>.</w:t>
      </w:r>
    </w:p>
    <w:p w14:paraId="02A6854D" w14:textId="48A4C8A4" w:rsidR="00E30712" w:rsidRPr="00485503" w:rsidRDefault="00E30712" w:rsidP="00E30712">
      <w:pPr>
        <w:widowControl w:val="0"/>
        <w:autoSpaceDE w:val="0"/>
        <w:autoSpaceDN w:val="0"/>
        <w:adjustRightInd w:val="0"/>
        <w:ind w:left="480" w:hanging="480"/>
        <w:jc w:val="both"/>
        <w:rPr>
          <w:rFonts w:ascii="Cambria" w:hAnsi="Cambria"/>
          <w:noProof/>
          <w:szCs w:val="24"/>
        </w:rPr>
      </w:pPr>
      <w:r w:rsidRPr="00485503">
        <w:rPr>
          <w:rFonts w:ascii="Cambria" w:hAnsi="Cambria"/>
          <w:noProof/>
          <w:szCs w:val="24"/>
        </w:rPr>
        <w:t>Ramadhani, Putri Rizka, and Shandy Angelica Elizabeth Hutagalung. 2016. “P</w:t>
      </w:r>
      <w:r w:rsidR="009C2D23" w:rsidRPr="00485503">
        <w:rPr>
          <w:rFonts w:ascii="Cambria" w:hAnsi="Cambria"/>
          <w:noProof/>
          <w:szCs w:val="24"/>
        </w:rPr>
        <w:t>enerapan Prinsip Mengenali Pemilik Manfaat Perseroan Terbatas Tertutup (Studi Perbandingan: Singapura Dan Indonesia</w:t>
      </w:r>
      <w:r w:rsidRPr="00485503">
        <w:rPr>
          <w:rFonts w:ascii="Cambria" w:hAnsi="Cambria"/>
          <w:noProof/>
          <w:szCs w:val="24"/>
        </w:rPr>
        <w:t>).” 2(April):1–23.</w:t>
      </w:r>
    </w:p>
    <w:p w14:paraId="49549258" w14:textId="77777777" w:rsidR="00E30712" w:rsidRPr="00485503" w:rsidRDefault="00E30712" w:rsidP="00E30712">
      <w:pPr>
        <w:widowControl w:val="0"/>
        <w:autoSpaceDE w:val="0"/>
        <w:autoSpaceDN w:val="0"/>
        <w:adjustRightInd w:val="0"/>
        <w:ind w:left="480" w:hanging="480"/>
        <w:jc w:val="both"/>
        <w:rPr>
          <w:rFonts w:ascii="Cambria" w:hAnsi="Cambria"/>
          <w:noProof/>
          <w:szCs w:val="24"/>
        </w:rPr>
      </w:pPr>
      <w:r w:rsidRPr="00485503">
        <w:rPr>
          <w:rFonts w:ascii="Cambria" w:hAnsi="Cambria"/>
          <w:noProof/>
          <w:szCs w:val="24"/>
        </w:rPr>
        <w:t xml:space="preserve">Sutrisno, Bambang, and FX Bhirawa Braja Paksa. 2019. “Penegakan Hukum Terhadap Tindak Pidana Pencemaran Nama Baik Menurut Pasal 27 Ayat (3) Undang-Undang Nomor 11 Tahun 2008 Tentang Informasi Dan Transaksi Elektronik (Uu Ite).” </w:t>
      </w:r>
      <w:r w:rsidRPr="00485503">
        <w:rPr>
          <w:rFonts w:ascii="Cambria" w:hAnsi="Cambria"/>
          <w:i/>
          <w:iCs/>
          <w:noProof/>
          <w:szCs w:val="24"/>
        </w:rPr>
        <w:t>MIZAN, Jurnal Ilmu Hukum</w:t>
      </w:r>
      <w:r w:rsidRPr="00485503">
        <w:rPr>
          <w:rFonts w:ascii="Cambria" w:hAnsi="Cambria"/>
          <w:noProof/>
          <w:szCs w:val="24"/>
        </w:rPr>
        <w:t xml:space="preserve"> 8(1):20. doi: 10.32503/mizan.v8i1.495.</w:t>
      </w:r>
    </w:p>
    <w:p w14:paraId="4C7F1CBA" w14:textId="77777777" w:rsidR="00E30712" w:rsidRPr="00485503" w:rsidRDefault="00E30712" w:rsidP="00E30712">
      <w:pPr>
        <w:widowControl w:val="0"/>
        <w:autoSpaceDE w:val="0"/>
        <w:autoSpaceDN w:val="0"/>
        <w:adjustRightInd w:val="0"/>
        <w:ind w:left="480" w:hanging="480"/>
        <w:jc w:val="both"/>
        <w:rPr>
          <w:rFonts w:ascii="Cambria" w:hAnsi="Cambria"/>
          <w:noProof/>
          <w:szCs w:val="24"/>
        </w:rPr>
      </w:pPr>
      <w:r w:rsidRPr="00485503">
        <w:rPr>
          <w:rFonts w:ascii="Cambria" w:hAnsi="Cambria"/>
          <w:noProof/>
          <w:szCs w:val="24"/>
        </w:rPr>
        <w:t xml:space="preserve">Triwahyuningsih, Susani. 2019. “Sistem Demokrasi Dalam Pemilihan Umum Secara Langsung Di Indonesia.” </w:t>
      </w:r>
      <w:r w:rsidRPr="00485503">
        <w:rPr>
          <w:rFonts w:ascii="Cambria" w:hAnsi="Cambria"/>
          <w:i/>
          <w:iCs/>
          <w:noProof/>
          <w:szCs w:val="24"/>
        </w:rPr>
        <w:t>Legal Standing : Jurnal Ilmu Hukum</w:t>
      </w:r>
      <w:r w:rsidRPr="00485503">
        <w:rPr>
          <w:rFonts w:ascii="Cambria" w:hAnsi="Cambria"/>
          <w:noProof/>
          <w:szCs w:val="24"/>
        </w:rPr>
        <w:t xml:space="preserve"> 3(2):62. doi: 10.24269/ls.v3i2.2023.</w:t>
      </w:r>
    </w:p>
    <w:p w14:paraId="6EC0AAF1" w14:textId="259E6BD2" w:rsidR="00E30712" w:rsidRPr="00E30712" w:rsidRDefault="00E30712" w:rsidP="00E30712">
      <w:pPr>
        <w:tabs>
          <w:tab w:val="left" w:pos="0"/>
        </w:tabs>
        <w:autoSpaceDE w:val="0"/>
        <w:autoSpaceDN w:val="0"/>
        <w:ind w:left="567" w:hanging="567"/>
        <w:jc w:val="both"/>
        <w:rPr>
          <w:rFonts w:ascii="Cambria" w:hAnsi="Cambria"/>
          <w:noProof/>
        </w:rPr>
      </w:pPr>
      <w:r w:rsidRPr="00485503">
        <w:rPr>
          <w:rFonts w:ascii="Cambria" w:hAnsi="Cambria"/>
          <w:noProof/>
          <w:szCs w:val="24"/>
        </w:rPr>
        <w:t xml:space="preserve">Wijana, Kadek, I. Made Sepud, and Anak Agung Sagung Laksmi Dewi. 2020. “Peradilan Tindak Pidana Korupsi Bagi Anggota Militer.” </w:t>
      </w:r>
      <w:r w:rsidRPr="00485503">
        <w:rPr>
          <w:rFonts w:ascii="Cambria" w:hAnsi="Cambria"/>
          <w:i/>
          <w:iCs/>
          <w:noProof/>
          <w:szCs w:val="24"/>
        </w:rPr>
        <w:t>Jurnal Analogi Hukum</w:t>
      </w:r>
      <w:r w:rsidRPr="00485503">
        <w:rPr>
          <w:rFonts w:ascii="Cambria" w:hAnsi="Cambria"/>
          <w:noProof/>
          <w:szCs w:val="24"/>
        </w:rPr>
        <w:t xml:space="preserve"> 2(3):404–8. doi: 10.22225/ah.2.3.2494.404-408</w:t>
      </w:r>
    </w:p>
    <w:p w14:paraId="06E6ED80" w14:textId="5D9D6AAE" w:rsidR="00065E47" w:rsidRPr="000245FE" w:rsidRDefault="000245FE" w:rsidP="00E30712">
      <w:pPr>
        <w:widowControl w:val="0"/>
        <w:tabs>
          <w:tab w:val="left" w:pos="0"/>
        </w:tabs>
        <w:autoSpaceDE w:val="0"/>
        <w:autoSpaceDN w:val="0"/>
        <w:adjustRightInd w:val="0"/>
        <w:jc w:val="both"/>
        <w:rPr>
          <w:rFonts w:ascii="Cambria" w:hAnsi="Cambria"/>
          <w:noProof/>
        </w:rPr>
      </w:pPr>
      <w:r w:rsidRPr="000245FE">
        <w:rPr>
          <w:rFonts w:ascii="Cambria" w:eastAsia="Cambria" w:hAnsi="Cambria" w:cs="Cambria"/>
        </w:rPr>
        <w:fldChar w:fldCharType="end"/>
      </w:r>
    </w:p>
    <w:sectPr w:rsidR="00065E47" w:rsidRPr="000245FE" w:rsidSect="009A7860">
      <w:headerReference w:type="even" r:id="rId9"/>
      <w:headerReference w:type="default" r:id="rId10"/>
      <w:footerReference w:type="even" r:id="rId11"/>
      <w:footerReference w:type="default" r:id="rId12"/>
      <w:headerReference w:type="first" r:id="rId13"/>
      <w:footerReference w:type="first" r:id="rId14"/>
      <w:footnotePr>
        <w:numFmt w:val="lowerLetter"/>
        <w:numRestart w:val="eachSect"/>
      </w:footnotePr>
      <w:type w:val="continuous"/>
      <w:pgSz w:w="12242" w:h="15842" w:code="1"/>
      <w:pgMar w:top="1418" w:right="1418" w:bottom="1418" w:left="1440" w:header="1134" w:footer="1134" w:gutter="0"/>
      <w:pgNumType w:start="9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FA131" w14:textId="77777777" w:rsidR="009156AC" w:rsidRDefault="009156AC">
      <w:r>
        <w:separator/>
      </w:r>
    </w:p>
  </w:endnote>
  <w:endnote w:type="continuationSeparator" w:id="0">
    <w:p w14:paraId="07B5B407" w14:textId="77777777" w:rsidR="009156AC" w:rsidRDefault="00915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w:charset w:val="00"/>
    <w:family w:val="swiss"/>
    <w:pitch w:val="variable"/>
    <w:sig w:usb0="E00082FF" w:usb1="400078FF" w:usb2="00000021" w:usb3="00000000" w:csb0="0000019F" w:csb1="00000000"/>
  </w:font>
  <w:font w:name="Ample-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C9143" w14:textId="66275475" w:rsidR="00343597" w:rsidRPr="003D5B84" w:rsidRDefault="00343597" w:rsidP="00843C01">
    <w:pPr>
      <w:pStyle w:val="Header"/>
      <w:tabs>
        <w:tab w:val="clear" w:pos="4320"/>
        <w:tab w:val="clear" w:pos="8640"/>
        <w:tab w:val="left" w:pos="2992"/>
        <w:tab w:val="right" w:pos="9356"/>
      </w:tabs>
      <w:spacing w:before="240"/>
    </w:pPr>
    <w:r>
      <w:rPr>
        <w:noProof/>
      </w:rPr>
      <mc:AlternateContent>
        <mc:Choice Requires="wps">
          <w:drawing>
            <wp:anchor distT="4294967295" distB="4294967295" distL="114300" distR="114300" simplePos="0" relativeHeight="251660288" behindDoc="0" locked="0" layoutInCell="1" allowOverlap="1" wp14:anchorId="2A6CB491" wp14:editId="2757E5A2">
              <wp:simplePos x="0" y="0"/>
              <wp:positionH relativeFrom="margin">
                <wp:posOffset>9525</wp:posOffset>
              </wp:positionH>
              <wp:positionV relativeFrom="paragraph">
                <wp:posOffset>97789</wp:posOffset>
              </wp:positionV>
              <wp:extent cx="5934075" cy="0"/>
              <wp:effectExtent l="0" t="0" r="9525"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3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60FBC9" id="Straight Connector 3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75pt,7.7pt" to="468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g+5gEAACsEAAAOAAAAZHJzL2Uyb0RvYy54bWysU02P0zAQvSPxHyzfadIuC2zUdA9dLZcV&#10;VBT27nXsxsL2WGPTpv+esdOmy4eQQFysjGfem3nPk+Xt4CzbK4wGfMvns5oz5SV0xu9a/uXz/at3&#10;nMUkfCcseNXyo4r8dvXyxfIQGrWAHmynkBGJj80htLxPKTRVFWWvnIgzCMpTUgM6kSjEXdWhOBC7&#10;s9Wirt9UB8AuIEgVI93ejUm+KvxaK5k+ah1VYrblNFsqJ5bzKZ/VaimaHYrQG3kaQ/zDFE4YT00n&#10;qjuRBPuG5hcqZyRCBJ1mElwFWhupigZSM69/UrPtRVBFC5kTw2RT/H+08sN+g8x0Lb9acOaFozfa&#10;JhRm1ye2Bu/JQUBGSXLqEGJDgLXfYNYqB78NDyC/RspVPyRzEMNYNmh0TFsTHmlBikkkmw3lDY7T&#10;G6ghMUmX1zdXr+u315zJc64STabIHQPG9F6BY/mj5db4bI9oxP4hpjzEpSRfW5/PCNZ098baEuTF&#10;UmuLbC9oJdIwz8II96yKoowsikYRRU46WjWyflKaLKNhRzllWS+cQkrl05nXeqrOME0TTMC6jP1H&#10;4Kk+Q1VZ5L8BT4jSGXyawM54wN91v1ihx/qzA6PubMETdMcNnh+bNrI4d/p78so/jwv88o+vvgMA&#10;AP//AwBQSwMEFAAGAAgAAAAhAKuxclzcAAAABwEAAA8AAABkcnMvZG93bnJldi54bWxMj0FLw0AQ&#10;he+C/2EZwZvdmGqxMZsiQot4ayxIb5tkkg3NzobsNk399U7xUE/Dm/d48026mmwnRhx860jB4ywC&#10;gVS6qqVGwe5r/fACwgdNle4coYIzelhltzepTip3oi2OeWgEl5BPtAITQp9I6UuDVvuZ65HYq91g&#10;dWA5NLIa9InLbSfjKFpIq1viC0b3+G6wPORHq2Bd1Of9z+b7I643sTl8znfbMY+Uur+b3l5BBJzC&#10;NQwXfEaHjJkKd6TKi471Mwcv4wkE28v5gl8r/hYyS+V//uwXAAD//wMAUEsBAi0AFAAGAAgAAAAh&#10;ALaDOJL+AAAA4QEAABMAAAAAAAAAAAAAAAAAAAAAAFtDb250ZW50X1R5cGVzXS54bWxQSwECLQAU&#10;AAYACAAAACEAOP0h/9YAAACUAQAACwAAAAAAAAAAAAAAAAAvAQAAX3JlbHMvLnJlbHNQSwECLQAU&#10;AAYACAAAACEALv/YPuYBAAArBAAADgAAAAAAAAAAAAAAAAAuAgAAZHJzL2Uyb0RvYy54bWxQSwEC&#10;LQAUAAYACAAAACEAq7FyXNwAAAAHAQAADwAAAAAAAAAAAAAAAABABAAAZHJzL2Rvd25yZXYueG1s&#10;UEsFBgAAAAAEAAQA8wAAAEkFAAAAAA==&#10;" strokecolor="black [3213]">
              <o:lock v:ext="edit" shapetype="f"/>
              <w10:wrap anchorx="margin"/>
            </v:line>
          </w:pict>
        </mc:Fallback>
      </mc:AlternateContent>
    </w:r>
    <w:r>
      <w:t>IJSSH</w:t>
    </w:r>
    <w:r>
      <w:tab/>
    </w:r>
    <w:r w:rsidRPr="003D5B84">
      <w:t xml:space="preserve"> </w:t>
    </w:r>
    <w:r>
      <w:tab/>
      <w:t>Vol.2 No.</w:t>
    </w:r>
    <w:r w:rsidR="00701F13">
      <w:t>3</w:t>
    </w:r>
    <w:r>
      <w:t xml:space="preserve">, </w:t>
    </w:r>
    <w:r w:rsidR="00701F13">
      <w:t>Oktober</w:t>
    </w:r>
    <w:r w:rsidR="00D645FB">
      <w:t xml:space="preserve"> </w:t>
    </w:r>
    <w:r>
      <w:t xml:space="preserve">2024, pages: </w:t>
    </w:r>
    <w:r w:rsidR="009A7860">
      <w:t>9</w:t>
    </w:r>
    <w:r w:rsidR="004E6CBB">
      <w:t>9</w:t>
    </w:r>
    <w:r>
      <w:t>-</w:t>
    </w:r>
    <w:r w:rsidR="006F1685">
      <w:t>1</w:t>
    </w:r>
    <w:r w:rsidR="009A7860">
      <w:t>04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32D5" w14:textId="258902E6" w:rsidR="00343597" w:rsidRPr="00332279" w:rsidRDefault="004E6CBB" w:rsidP="009003D8">
    <w:pPr>
      <w:pStyle w:val="Footer"/>
      <w:pBdr>
        <w:top w:val="single" w:sz="4" w:space="1" w:color="auto"/>
      </w:pBdr>
      <w:jc w:val="right"/>
      <w:rPr>
        <w:i/>
      </w:rPr>
    </w:pPr>
    <w:r w:rsidRPr="004E6CBB">
      <w:rPr>
        <w:i/>
        <w:iCs/>
      </w:rPr>
      <w:t>The Jurisdiction of the Corruption Eradication Commission</w:t>
    </w:r>
    <w:r w:rsidR="00CE7AC4">
      <w:rPr>
        <w:i/>
        <w:iCs/>
      </w:rPr>
      <w:t xml:space="preserve"> </w:t>
    </w:r>
    <w:r w:rsidR="00D645FB">
      <w:rPr>
        <w:i/>
        <w:iCs/>
      </w:rPr>
      <w:t>…</w:t>
    </w:r>
  </w:p>
  <w:p w14:paraId="17593D24" w14:textId="7FFB600E" w:rsidR="00D645FB" w:rsidRPr="00D645FB" w:rsidRDefault="00343597" w:rsidP="00D645FB">
    <w:pPr>
      <w:pStyle w:val="Footer"/>
      <w:pBdr>
        <w:top w:val="single" w:sz="4" w:space="1" w:color="auto"/>
      </w:pBdr>
      <w:jc w:val="right"/>
      <w:rPr>
        <w:i/>
      </w:rPr>
    </w:pPr>
    <w:r w:rsidRPr="00332279">
      <w:rPr>
        <w:i/>
      </w:rPr>
      <w:t>(</w:t>
    </w:r>
    <w:r w:rsidR="004E6CBB" w:rsidRPr="004E6CBB">
      <w:rPr>
        <w:bCs/>
        <w:i/>
        <w:iCs/>
      </w:rPr>
      <w:t>Zainudin Syah Pahlavi</w:t>
    </w:r>
    <w:r w:rsidR="00CE7AC4">
      <w:rPr>
        <w:rFonts w:eastAsia="Cambria"/>
        <w:i/>
        <w:iCs/>
      </w:rPr>
      <w:t xml:space="preserve"> </w:t>
    </w:r>
    <w:r w:rsidRPr="00332279">
      <w:rPr>
        <w:i/>
      </w:rPr>
      <w:t>et al., 2024)</w:t>
    </w:r>
  </w:p>
  <w:p w14:paraId="7ECADB68" w14:textId="77777777" w:rsidR="00D645FB" w:rsidRPr="00D645FB" w:rsidRDefault="00D645FB" w:rsidP="00D645FB">
    <w:pPr>
      <w:rPr>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C849D" w14:textId="77777777" w:rsidR="00343597" w:rsidRPr="00FA38EB" w:rsidRDefault="00343597">
    <w:pPr>
      <w:pStyle w:val="Footer"/>
      <w:jc w:val="center"/>
      <w:rPr>
        <w:sz w:val="2"/>
        <w:szCs w:val="2"/>
      </w:rPr>
    </w:pPr>
  </w:p>
  <w:p w14:paraId="60686595" w14:textId="4EB713A6" w:rsidR="00343597" w:rsidRPr="005B0A88" w:rsidRDefault="009A7860" w:rsidP="009C7995">
    <w:pPr>
      <w:pStyle w:val="Footer"/>
      <w:pBdr>
        <w:top w:val="single" w:sz="4" w:space="10" w:color="auto"/>
      </w:pBdr>
      <w:jc w:val="right"/>
    </w:pPr>
    <w:r>
      <w:t>9</w:t>
    </w:r>
    <w:r w:rsidR="00AB278F">
      <w:t>9</w:t>
    </w:r>
  </w:p>
  <w:p w14:paraId="200DEA36" w14:textId="77777777" w:rsidR="00343597" w:rsidRPr="00FF3FFC" w:rsidRDefault="00343597" w:rsidP="00CF5FF4">
    <w:pPr>
      <w:pStyle w:val="Footer"/>
      <w:pBdr>
        <w:top w:val="single" w:sz="4" w:space="10" w:color="auto"/>
      </w:pBdr>
      <w:spacing w:before="240"/>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E02D6" w14:textId="77777777" w:rsidR="009156AC" w:rsidRDefault="009156AC">
      <w:r>
        <w:separator/>
      </w:r>
    </w:p>
  </w:footnote>
  <w:footnote w:type="continuationSeparator" w:id="0">
    <w:p w14:paraId="5030571E" w14:textId="77777777" w:rsidR="009156AC" w:rsidRDefault="009156AC">
      <w:r>
        <w:continuationSeparator/>
      </w:r>
    </w:p>
  </w:footnote>
  <w:footnote w:id="1">
    <w:p w14:paraId="01936ACA" w14:textId="692A21D6" w:rsidR="00343597" w:rsidRDefault="00343597" w:rsidP="00070703">
      <w:pPr>
        <w:pBdr>
          <w:top w:val="nil"/>
          <w:left w:val="nil"/>
          <w:bottom w:val="nil"/>
          <w:right w:val="nil"/>
          <w:between w:val="nil"/>
        </w:pBdr>
        <w:ind w:left="142" w:hanging="142"/>
        <w:rPr>
          <w:color w:val="000000"/>
        </w:rPr>
      </w:pPr>
      <w:r w:rsidRPr="00C84B39">
        <w:rPr>
          <w:rStyle w:val="FootnoteReference"/>
          <w:b/>
          <w:bCs/>
          <w:color w:val="FFC000"/>
        </w:rPr>
        <w:footnoteRef/>
      </w:r>
      <w:r>
        <w:rPr>
          <w:color w:val="000000"/>
        </w:rPr>
        <w:t xml:space="preserve"> </w:t>
      </w:r>
      <w:r>
        <w:rPr>
          <w:color w:val="000000"/>
        </w:rPr>
        <w:tab/>
      </w:r>
      <w:r w:rsidR="00070703" w:rsidRPr="00A47633">
        <w:rPr>
          <w:rFonts w:ascii="Cambria" w:eastAsia="Cambria" w:hAnsi="Cambria" w:cs="Cambria"/>
          <w:color w:val="000000"/>
          <w:sz w:val="18"/>
          <w:szCs w:val="18"/>
        </w:rPr>
        <w:t>Departement of Law, University 17 Agustus 1945, Surabaya, Indonesi</w:t>
      </w:r>
      <w:r w:rsidR="00070703">
        <w:rPr>
          <w:rFonts w:ascii="Cambria" w:eastAsia="Cambria" w:hAnsi="Cambria" w:cs="Cambria"/>
          <w:color w:val="000000"/>
          <w:sz w:val="18"/>
          <w:szCs w:val="18"/>
        </w:rPr>
        <w:t>a</w:t>
      </w:r>
    </w:p>
  </w:footnote>
  <w:footnote w:id="2">
    <w:p w14:paraId="0F746A01" w14:textId="557DC13C" w:rsidR="00343597" w:rsidRDefault="00343597" w:rsidP="00070703">
      <w:pPr>
        <w:pBdr>
          <w:top w:val="nil"/>
          <w:left w:val="nil"/>
          <w:bottom w:val="nil"/>
          <w:right w:val="nil"/>
          <w:between w:val="nil"/>
        </w:pBdr>
        <w:ind w:left="142" w:hanging="142"/>
        <w:rPr>
          <w:color w:val="000000"/>
        </w:rPr>
      </w:pPr>
      <w:r w:rsidRPr="00C84B39">
        <w:rPr>
          <w:rStyle w:val="FootnoteReference"/>
          <w:b/>
          <w:bCs/>
          <w:color w:val="FFC000"/>
        </w:rPr>
        <w:footnoteRef/>
      </w:r>
      <w:r w:rsidRPr="00C84B39">
        <w:rPr>
          <w:b/>
          <w:bCs/>
          <w:color w:val="FFC000"/>
        </w:rPr>
        <w:t xml:space="preserve"> </w:t>
      </w:r>
      <w:r w:rsidR="00070703" w:rsidRPr="00A47633">
        <w:rPr>
          <w:rFonts w:ascii="Cambria" w:eastAsia="Cambria" w:hAnsi="Cambria" w:cs="Cambria"/>
          <w:color w:val="000000"/>
          <w:sz w:val="18"/>
          <w:szCs w:val="18"/>
        </w:rPr>
        <w:t>Departement of Law, University 17 Agustus 1945, Surabaya, Indonesia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BC59" w14:textId="77777777" w:rsidR="00343597" w:rsidRPr="003D5B84" w:rsidRDefault="00343597" w:rsidP="00F92294">
    <w:pPr>
      <w:pStyle w:val="Header"/>
      <w:framePr w:wrap="around" w:vAnchor="text" w:hAnchor="margin" w:xAlign="outside" w:y="1"/>
      <w:ind w:right="-194"/>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42</w:t>
    </w:r>
    <w:r w:rsidRPr="003D5B84">
      <w:rPr>
        <w:rStyle w:val="PageNumber"/>
      </w:rPr>
      <w:fldChar w:fldCharType="end"/>
    </w:r>
  </w:p>
  <w:p w14:paraId="0278627A" w14:textId="5698A6D9" w:rsidR="00343597" w:rsidRPr="003D5B84" w:rsidRDefault="00343597" w:rsidP="00843C01">
    <w:pPr>
      <w:pStyle w:val="Header"/>
      <w:tabs>
        <w:tab w:val="clear" w:pos="4320"/>
        <w:tab w:val="clear" w:pos="8640"/>
        <w:tab w:val="right" w:pos="851"/>
        <w:tab w:val="left" w:pos="3405"/>
        <w:tab w:val="right" w:pos="9356"/>
      </w:tabs>
      <w:spacing w:after="240"/>
    </w:pPr>
    <w:r>
      <w:rPr>
        <w:noProof/>
      </w:rPr>
      <mc:AlternateContent>
        <mc:Choice Requires="wps">
          <w:drawing>
            <wp:anchor distT="4294967295" distB="4294967295" distL="114300" distR="114300" simplePos="0" relativeHeight="251659264" behindDoc="0" locked="0" layoutInCell="1" allowOverlap="1" wp14:anchorId="21C354DC" wp14:editId="4A6C0C9F">
              <wp:simplePos x="0" y="0"/>
              <wp:positionH relativeFrom="margin">
                <wp:posOffset>9525</wp:posOffset>
              </wp:positionH>
              <wp:positionV relativeFrom="paragraph">
                <wp:posOffset>211455</wp:posOffset>
              </wp:positionV>
              <wp:extent cx="5976000" cy="0"/>
              <wp:effectExtent l="0" t="0" r="0" b="0"/>
              <wp:wrapNone/>
              <wp:docPr id="10"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7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0EF07D" id="Straight Connector 3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75pt,16.65pt" to="471.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r8O5AEAACsEAAAOAAAAZHJzL2Uyb0RvYy54bWysU02P0zAQvSPxHyzfadIiFoia7qGr5bKC&#10;igJ3rzNuLGyPZZsm/feMnTZdPoQE4mLFnnlv5r2ZrG9Ha9gRQtToWr5c1JyBk9hpd2j550/3L95w&#10;FpNwnTDooOUniPx28/zZevANrLBH00FgROJiM/iW9yn5pqqi7MGKuEAPjoIKgxWJruFQdUEMxG5N&#10;tarrm2rA0PmAEmKk17spyDeFXymQ6YNSERIzLafeUjlDOR/zWW3WojkE4Xstz22If+jCCu2o6Ex1&#10;J5Jg34L+hcpqGTCiSguJtkKltISigdQs65/U7HvhoWghc6KfbYr/j1a+P+4C0x3NjuxxwtKM9ikI&#10;fegT26Jz5CAG9nKVnRp8bAiwdbuQtcrR7f0Dyq+RYtUPwXyJfkobVbBMGe2/UJFiEslmY5nBaZ4B&#10;jIlJenz19vVNXVMv8hKrRJMpckUfYnoHaFn+aLnRLtsjGnF8iCk3cU3Jz8blM6LR3b02plzyYsHW&#10;BHYUtBJpXGZhhHuSRbeMLIomEUVOOhmYWD+CIsuo2UlOWdYrp5ASXLrwGkfZGaaogxlYl7b/CDzn&#10;ZyiURf4b8IwoldGlGWy1w/C76lcr1JR/cWDSnS14xO60C5dh00YW585/T175p/cCv/7jm+8AAAD/&#10;/wMAUEsDBBQABgAIAAAAIQBqplEW2wAAAAcBAAAPAAAAZHJzL2Rvd25yZXYueG1sTI5LS8NAFIX3&#10;gv9huII7OzHRUmMmRYQWcddYkO4mmZsHzdwJmWma+uu94kKX58E5X7aebS8mHH3nSMH9IgKBVDnT&#10;UaNg/7G5W4HwQZPRvSNUcEEP6/z6KtOpcWfa4VSERvAI+VQraEMYUil91aLVfuEGJM5qN1odWI6N&#10;NKM+87jtZRxFS2l1R/zQ6gFfW6yOxckq2JT15fC1/XyL623cHt+T/W4qIqVub+aXZxAB5/BXhh98&#10;RoecmUp3IuNFz/qRiwqSJAHB8dNDvARR/hoyz+R//vwbAAD//wMAUEsBAi0AFAAGAAgAAAAhALaD&#10;OJL+AAAA4QEAABMAAAAAAAAAAAAAAAAAAAAAAFtDb250ZW50X1R5cGVzXS54bWxQSwECLQAUAAYA&#10;CAAAACEAOP0h/9YAAACUAQAACwAAAAAAAAAAAAAAAAAvAQAAX3JlbHMvLnJlbHNQSwECLQAUAAYA&#10;CAAAACEA3Fq/DuQBAAArBAAADgAAAAAAAAAAAAAAAAAuAgAAZHJzL2Uyb0RvYy54bWxQSwECLQAU&#10;AAYACAAAACEAaqZRFtsAAAAHAQAADwAAAAAAAAAAAAAAAAA+BAAAZHJzL2Rvd25yZXYueG1sUEsF&#10;BgAAAAAEAAQA8wAAAEYFAAAAAA==&#10;" strokecolor="black [3213]">
              <o:lock v:ext="edit" shapetype="f"/>
              <w10:wrap anchorx="margin"/>
            </v:line>
          </w:pict>
        </mc:Fallback>
      </mc:AlternateContent>
    </w:r>
    <w:r>
      <w:t xml:space="preserve">       </w:t>
    </w:r>
    <w:r w:rsidRPr="003D5B84">
      <w:tab/>
    </w:r>
    <w:r>
      <w:tab/>
    </w:r>
    <w:r>
      <w:tab/>
      <w:t xml:space="preserve">e-ISSN: </w:t>
    </w:r>
    <w:r w:rsidRPr="00080D55">
      <w:t>2985-6469</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6A6EC" w14:textId="77777777" w:rsidR="00343597" w:rsidRPr="003D5B84" w:rsidRDefault="00343597"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41</w:t>
    </w:r>
    <w:r w:rsidRPr="003D5B84">
      <w:rPr>
        <w:rStyle w:val="PageNumber"/>
      </w:rPr>
      <w:fldChar w:fldCharType="end"/>
    </w:r>
  </w:p>
  <w:p w14:paraId="008EA9EB" w14:textId="5D7907CF" w:rsidR="00343597" w:rsidRPr="003D5B84" w:rsidRDefault="00343597" w:rsidP="00A70B39">
    <w:pPr>
      <w:pStyle w:val="Header"/>
      <w:pBdr>
        <w:bottom w:val="single" w:sz="4" w:space="7" w:color="auto"/>
      </w:pBdr>
      <w:tabs>
        <w:tab w:val="clear" w:pos="4320"/>
        <w:tab w:val="clear" w:pos="8640"/>
        <w:tab w:val="left" w:pos="0"/>
        <w:tab w:val="center" w:pos="4301"/>
        <w:tab w:val="left" w:pos="7938"/>
      </w:tabs>
    </w:pPr>
    <w:r>
      <w:t>IJSSH</w:t>
    </w:r>
    <w:r w:rsidRPr="003D5B84">
      <w:tab/>
    </w:r>
    <w:r>
      <w:t xml:space="preserve">                        e-ISSN: </w:t>
    </w:r>
    <w:r w:rsidRPr="00080D55">
      <w:t>2985-6469</w:t>
    </w:r>
    <w:r w:rsidRPr="003D5B8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06416" w14:textId="77777777" w:rsidR="00343597" w:rsidRPr="00BE0F85" w:rsidRDefault="00343597" w:rsidP="00CF2C4C">
    <w:pPr>
      <w:spacing w:before="160"/>
      <w:ind w:left="1418"/>
      <w:rPr>
        <w:rFonts w:ascii="Ample-Bold" w:hAnsi="Ample-Bold" w:cs="Courier New"/>
        <w:b/>
        <w:sz w:val="26"/>
        <w:szCs w:val="26"/>
      </w:rPr>
    </w:pPr>
    <w:r w:rsidRPr="00BE0F85">
      <w:rPr>
        <w:rFonts w:ascii="Ample-Bold" w:hAnsi="Ample-Bold"/>
        <w:noProof/>
        <w:sz w:val="26"/>
        <w:szCs w:val="26"/>
      </w:rPr>
      <w:drawing>
        <wp:anchor distT="0" distB="0" distL="114300" distR="114300" simplePos="0" relativeHeight="251662336" behindDoc="0" locked="0" layoutInCell="1" allowOverlap="1" wp14:anchorId="72115236" wp14:editId="1D8BE412">
          <wp:simplePos x="0" y="0"/>
          <wp:positionH relativeFrom="column">
            <wp:posOffset>-4445</wp:posOffset>
          </wp:positionH>
          <wp:positionV relativeFrom="paragraph">
            <wp:posOffset>-14605</wp:posOffset>
          </wp:positionV>
          <wp:extent cx="683260" cy="902970"/>
          <wp:effectExtent l="0" t="0" r="254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 IJSSH for templa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3260" cy="902970"/>
                  </a:xfrm>
                  <a:prstGeom prst="rect">
                    <a:avLst/>
                  </a:prstGeom>
                </pic:spPr>
              </pic:pic>
            </a:graphicData>
          </a:graphic>
          <wp14:sizeRelH relativeFrom="page">
            <wp14:pctWidth>0</wp14:pctWidth>
          </wp14:sizeRelH>
          <wp14:sizeRelV relativeFrom="page">
            <wp14:pctHeight>0</wp14:pctHeight>
          </wp14:sizeRelV>
        </wp:anchor>
      </w:drawing>
    </w:r>
    <w:r w:rsidRPr="00BE0F85">
      <w:rPr>
        <w:rFonts w:ascii="Ample-Bold" w:hAnsi="Ample-Bold"/>
        <w:noProof/>
        <w:sz w:val="26"/>
        <w:szCs w:val="26"/>
      </w:rPr>
      <w:drawing>
        <wp:anchor distT="0" distB="0" distL="114300" distR="114300" simplePos="0" relativeHeight="251661312" behindDoc="0" locked="0" layoutInCell="1" allowOverlap="1" wp14:anchorId="1AB94329" wp14:editId="50522D59">
          <wp:simplePos x="0" y="0"/>
          <wp:positionH relativeFrom="column">
            <wp:posOffset>4989195</wp:posOffset>
          </wp:positionH>
          <wp:positionV relativeFrom="paragraph">
            <wp:posOffset>-24130</wp:posOffset>
          </wp:positionV>
          <wp:extent cx="1002030" cy="844550"/>
          <wp:effectExtent l="0" t="0" r="762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JSSH@1x.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2030" cy="844550"/>
                  </a:xfrm>
                  <a:prstGeom prst="rect">
                    <a:avLst/>
                  </a:prstGeom>
                </pic:spPr>
              </pic:pic>
            </a:graphicData>
          </a:graphic>
          <wp14:sizeRelH relativeFrom="page">
            <wp14:pctWidth>0</wp14:pctWidth>
          </wp14:sizeRelH>
          <wp14:sizeRelV relativeFrom="page">
            <wp14:pctHeight>0</wp14:pctHeight>
          </wp14:sizeRelV>
        </wp:anchor>
      </w:drawing>
    </w:r>
    <w:r w:rsidRPr="00BE0F85">
      <w:rPr>
        <w:rFonts w:ascii="Ample-Bold" w:hAnsi="Ample-Bold"/>
        <w:noProof/>
        <w:sz w:val="26"/>
        <w:szCs w:val="26"/>
      </w:rPr>
      <mc:AlternateContent>
        <mc:Choice Requires="wps">
          <w:drawing>
            <wp:anchor distT="0" distB="0" distL="114300" distR="114300" simplePos="0" relativeHeight="251657216" behindDoc="0" locked="0" layoutInCell="1" allowOverlap="1" wp14:anchorId="7BA284AC" wp14:editId="24C8B66B">
              <wp:simplePos x="0" y="0"/>
              <wp:positionH relativeFrom="margin">
                <wp:posOffset>-14605</wp:posOffset>
              </wp:positionH>
              <wp:positionV relativeFrom="paragraph">
                <wp:posOffset>-45085</wp:posOffset>
              </wp:positionV>
              <wp:extent cx="5983605" cy="0"/>
              <wp:effectExtent l="0" t="19050" r="55245" b="38100"/>
              <wp:wrapNone/>
              <wp:docPr id="7"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3605" cy="0"/>
                      </a:xfrm>
                      <a:prstGeom prst="line">
                        <a:avLst/>
                      </a:prstGeom>
                      <a:noFill/>
                      <a:ln w="50800" cmpd="thickThin">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6FE32348" id="Straight Connector 30"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 from="-1.15pt,-3.55pt" to="470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QReLQIAAEkEAAAOAAAAZHJzL2Uyb0RvYy54bWysVE2P2yAQvVfqf0Dcs7bztYkVZ1XZSS/b&#10;NlLSH0AAx2gxICBxoqr/vQNx0qa9VFUvmIHh8ebNw4uXcyvRiVsntCpw9pRixBXVTKhDgb/u1oMZ&#10;Rs4TxYjUihf4wh1+Wb5/t+hMzoe60ZJxiwBEubwzBW68N3mSONrwlrgnbbiCzVrblngI7SFhlnSA&#10;3spkmKbTpNOWGaspdw5Wq+smXkb8uubUf6lrxz2SBQZuPo42jvswJssFyQ+WmEbQngb5BxYtEQou&#10;vUNVxBN0tOIPqFZQq52u/RPVbaLrWlAea4BqsvS3arYNMTzWAuI4c5fJ/T9Y+vm0sUiwAj9jpEgL&#10;Ldp6S8Sh8ajUSoGA2qJRFKozLof8Um1sKJWe1da8avrmkNJlQ9SBR8K7iwGULEibPBwJgTNw3b77&#10;pBnkkKPXUbVzbdsACXqgc2zO5d4cfvaIwuJkPhtN0wlG9LaXkPx20FjnP3LdojApsBQq6EZycnp1&#10;PhAh+S0lLCu9FlLG3kuFOgBPZynYg7YGlPDghbdd03fUaSlYSA8HnT3sS2nRiYCf1usyhVNX+Ic0&#10;q4+KRfiGE7bq554IeZ0DHakCHhQHBPvZ1TDf5ul8NVvNxoPxcLoajNOqGnxYl+PBdJ09T6pRVZZV&#10;9j1Ul43zRjDGVWB3M282/jtz9M/oaru7fe/CJI/oUUEge/tG0rG7oaHhtbl8r9llY4MaIQK/xuT+&#10;bYUH8Wscs37+AZY/AAAA//8DAFBLAwQUAAYACAAAACEAeiV33toAAAAIAQAADwAAAGRycy9kb3du&#10;cmV2LnhtbEyPQW/CMAyF75P4D5GRuEEKTGN0TdGGtGulAYcdQ2PaaolTJaGUfz9PO2wny35Pz98r&#10;dqOzYsAQO08KlosMBFLtTUeNgtPxff4MIiZNRltPqOCOEXbl5KHQufE3+sDhkBrBIRRzraBNqc+l&#10;jHWLTseF75FYu/jgdOI1NNIEfeNwZ+Uqy56k0x3xh1b3uG+x/jpcnYJYbfHN2sodzf4kPy/rKuCA&#10;Ss2m4+sLiIRj+jPDDz6jQ8lMZ38lE4VVMF+t2clzswTB+vYx427n34MsC/m/QPkNAAD//wMAUEsB&#10;Ai0AFAAGAAgAAAAhALaDOJL+AAAA4QEAABMAAAAAAAAAAAAAAAAAAAAAAFtDb250ZW50X1R5cGVz&#10;XS54bWxQSwECLQAUAAYACAAAACEAOP0h/9YAAACUAQAACwAAAAAAAAAAAAAAAAAvAQAAX3JlbHMv&#10;LnJlbHNQSwECLQAUAAYACAAAACEAXOkEXi0CAABJBAAADgAAAAAAAAAAAAAAAAAuAgAAZHJzL2Uy&#10;b0RvYy54bWxQSwECLQAUAAYACAAAACEAeiV33toAAAAIAQAADwAAAAAAAAAAAAAAAACHBAAAZHJz&#10;L2Rvd25yZXYueG1sUEsFBgAAAAAEAAQA8wAAAI4FAAAAAA==&#10;" strokecolor="#ffc000" strokeweight="4pt">
              <v:stroke linestyle="thickThin"/>
              <w10:wrap anchorx="margin"/>
            </v:line>
          </w:pict>
        </mc:Fallback>
      </mc:AlternateContent>
    </w:r>
    <w:r w:rsidRPr="00BE0F85">
      <w:rPr>
        <w:rFonts w:ascii="Ample-Bold" w:hAnsi="Ample-Bold" w:cs="Courier New"/>
        <w:b/>
        <w:sz w:val="26"/>
        <w:szCs w:val="26"/>
      </w:rPr>
      <w:t>International Journal of Social Sciences and Humanities</w:t>
    </w:r>
  </w:p>
  <w:p w14:paraId="04EC90FD" w14:textId="6F569D24" w:rsidR="00343597" w:rsidRPr="00BE0F85" w:rsidRDefault="00343597" w:rsidP="002E30C7">
    <w:pPr>
      <w:ind w:left="1418"/>
      <w:rPr>
        <w:rFonts w:asciiTheme="majorHAnsi" w:hAnsiTheme="majorHAnsi" w:cs="Courier New"/>
        <w:sz w:val="24"/>
      </w:rPr>
    </w:pPr>
    <w:r w:rsidRPr="00BE0F85">
      <w:rPr>
        <w:rFonts w:asciiTheme="majorHAnsi" w:hAnsiTheme="majorHAnsi" w:cs="Courier New"/>
        <w:sz w:val="24"/>
      </w:rPr>
      <w:t xml:space="preserve">Vol. </w:t>
    </w:r>
    <w:r w:rsidR="00CE7AC4">
      <w:rPr>
        <w:rFonts w:asciiTheme="majorHAnsi" w:hAnsiTheme="majorHAnsi" w:cs="Courier New"/>
        <w:sz w:val="24"/>
      </w:rPr>
      <w:t>2</w:t>
    </w:r>
    <w:r w:rsidRPr="00BE0F85">
      <w:rPr>
        <w:rFonts w:asciiTheme="majorHAnsi" w:hAnsiTheme="majorHAnsi" w:cs="Courier New"/>
        <w:sz w:val="24"/>
      </w:rPr>
      <w:t xml:space="preserve"> No. </w:t>
    </w:r>
    <w:r w:rsidR="00CE7AC4">
      <w:rPr>
        <w:rFonts w:asciiTheme="majorHAnsi" w:hAnsiTheme="majorHAnsi" w:cs="Courier New"/>
        <w:sz w:val="24"/>
      </w:rPr>
      <w:t>3</w:t>
    </w:r>
    <w:r w:rsidRPr="00BE0F85">
      <w:rPr>
        <w:rFonts w:asciiTheme="majorHAnsi" w:hAnsiTheme="majorHAnsi" w:cs="Courier New"/>
        <w:sz w:val="24"/>
      </w:rPr>
      <w:t xml:space="preserve">, </w:t>
    </w:r>
    <w:r w:rsidR="00CE7AC4">
      <w:rPr>
        <w:rFonts w:asciiTheme="majorHAnsi" w:hAnsiTheme="majorHAnsi" w:cs="Courier New"/>
        <w:sz w:val="24"/>
      </w:rPr>
      <w:t>Oktober</w:t>
    </w:r>
    <w:r w:rsidRPr="00BE0F85">
      <w:rPr>
        <w:rFonts w:asciiTheme="majorHAnsi" w:hAnsiTheme="majorHAnsi" w:cs="Courier New"/>
        <w:sz w:val="24"/>
      </w:rPr>
      <w:t xml:space="preserve"> 2024, pages:</w:t>
    </w:r>
    <w:r w:rsidR="00DC4F01">
      <w:rPr>
        <w:rFonts w:asciiTheme="majorHAnsi" w:hAnsiTheme="majorHAnsi" w:cs="Courier New"/>
        <w:sz w:val="24"/>
      </w:rPr>
      <w:t xml:space="preserve"> </w:t>
    </w:r>
    <w:r w:rsidR="009A7860">
      <w:rPr>
        <w:rFonts w:asciiTheme="majorHAnsi" w:hAnsiTheme="majorHAnsi" w:cs="Courier New"/>
        <w:sz w:val="24"/>
      </w:rPr>
      <w:t>9</w:t>
    </w:r>
    <w:r w:rsidR="004E6CBB">
      <w:rPr>
        <w:rFonts w:asciiTheme="majorHAnsi" w:hAnsiTheme="majorHAnsi" w:cs="Courier New"/>
        <w:sz w:val="24"/>
      </w:rPr>
      <w:t>9</w:t>
    </w:r>
    <w:r w:rsidRPr="00BE0F85">
      <w:rPr>
        <w:rFonts w:asciiTheme="majorHAnsi" w:hAnsiTheme="majorHAnsi" w:cs="Courier New"/>
        <w:sz w:val="24"/>
      </w:rPr>
      <w:t>-</w:t>
    </w:r>
    <w:r w:rsidR="006F1685">
      <w:rPr>
        <w:rFonts w:asciiTheme="majorHAnsi" w:hAnsiTheme="majorHAnsi" w:cs="Courier New"/>
        <w:sz w:val="24"/>
      </w:rPr>
      <w:t>1</w:t>
    </w:r>
    <w:r w:rsidR="009A7860">
      <w:rPr>
        <w:rFonts w:asciiTheme="majorHAnsi" w:hAnsiTheme="majorHAnsi" w:cs="Courier New"/>
        <w:sz w:val="24"/>
      </w:rPr>
      <w:t>04</w:t>
    </w:r>
  </w:p>
  <w:p w14:paraId="0282EA18" w14:textId="68B86E3E" w:rsidR="00343597" w:rsidRPr="00BE0F85" w:rsidRDefault="00343597" w:rsidP="002E30C7">
    <w:pPr>
      <w:ind w:left="1418"/>
      <w:rPr>
        <w:rFonts w:asciiTheme="majorHAnsi" w:hAnsiTheme="majorHAnsi" w:cs="Courier New"/>
        <w:sz w:val="24"/>
      </w:rPr>
    </w:pPr>
    <w:r w:rsidRPr="00BE0F85">
      <w:rPr>
        <w:rFonts w:asciiTheme="majorHAnsi" w:hAnsiTheme="majorHAnsi" w:cs="Courier New"/>
        <w:sz w:val="24"/>
      </w:rPr>
      <w:t>e-ISSN: 2985-6469</w:t>
    </w:r>
  </w:p>
  <w:p w14:paraId="735B4653" w14:textId="56864A90" w:rsidR="00343597" w:rsidRPr="001A41F2" w:rsidRDefault="00343597" w:rsidP="002E30C7">
    <w:pPr>
      <w:spacing w:after="240"/>
      <w:ind w:left="1418"/>
      <w:rPr>
        <w:rFonts w:ascii="Cambria" w:hAnsi="Cambria"/>
        <w:szCs w:val="16"/>
      </w:rPr>
    </w:pPr>
    <w:r w:rsidRPr="001A41F2">
      <w:rPr>
        <w:rFonts w:ascii="Cambria" w:hAnsi="Cambria"/>
        <w:noProof/>
        <w:sz w:val="22"/>
        <w:szCs w:val="22"/>
      </w:rPr>
      <mc:AlternateContent>
        <mc:Choice Requires="wps">
          <w:drawing>
            <wp:anchor distT="0" distB="0" distL="114300" distR="114300" simplePos="0" relativeHeight="251658240" behindDoc="0" locked="0" layoutInCell="1" allowOverlap="1" wp14:anchorId="430AEB22" wp14:editId="14EB3D0A">
              <wp:simplePos x="0" y="0"/>
              <wp:positionH relativeFrom="margin">
                <wp:posOffset>-14605</wp:posOffset>
              </wp:positionH>
              <wp:positionV relativeFrom="paragraph">
                <wp:posOffset>268710</wp:posOffset>
              </wp:positionV>
              <wp:extent cx="5983605" cy="0"/>
              <wp:effectExtent l="0" t="19050" r="55245" b="38100"/>
              <wp:wrapNone/>
              <wp:docPr id="4"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3605" cy="0"/>
                      </a:xfrm>
                      <a:prstGeom prst="line">
                        <a:avLst/>
                      </a:prstGeom>
                      <a:noFill/>
                      <a:ln w="50800" cmpd="thinThick">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7428424D" id="Straight Connector 3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 from="-1.15pt,21.15pt" to="470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A4ILAIAAEkEAAAOAAAAZHJzL2Uyb0RvYy54bWysVMuO2jAU3VfqP1jeM0kgUIgIoyqBbqYd&#10;JOgHGNsh1ji2ZRsCqvrvvTaPlnZTVd04ftx7fO65x5k/nzqJjtw6oVWJs6cUI66oZkLtS/x1uxpM&#10;MXKeKEakVrzEZ+7w8+L9u3lvCj7UrZaMWwQgyhW9KXHrvSmSxNGWd8Q9acMVHDbadsTD0u4TZkkP&#10;6J1Mhmk6SXptmbGacudgt74c4kXEbxpO/WvTOO6RLDFw83G0cdyFMVnMSbG3xLSCXmmQf2DREaHg&#10;0jtUTTxBByv+gOoEtdrpxj9R3SW6aQTlsQaoJkt/q2bTEsNjLSCOM3eZ3P+DpV+Oa4sEK3GOkSId&#10;tGjjLRH71qNKKwUCaotGWRCqN66A+EqtbSiVntTGvGj65pDSVUvUnkfC27MBlJiRPKSEhTNw3a7/&#10;rBnEkIPXUbVTY7sACXqgU2zO+d4cfvKIwuZ4Nh1N0jFG9HaWkOKWaKzzn7juUJiUWAoVdCMFOb44&#10;D9Qh9BYStpVeCSlj76VCPYCn0xTsQTsDSvhWqC344S1COC0FC+Eh0dn9rpIWHQn4abWqUsi6wD+E&#10;WX1QLMK3nLDlde6JkJc50JEq4EFxQPA6uxjm2yydLafLaT7Ih5PlIE/revBxVeWDySr7MK5HdVXV&#10;2fdALcuLVjDGVWB3M2+W/505rs/oYru7fe/CJI/oUUEge/tG0rG7oaEXa+w0O69tUCM0Gvwag69v&#10;KzyIX9cx6ucfYPEDAAD//wMAUEsDBBQABgAIAAAAIQAyCsPy3gAAAAgBAAAPAAAAZHJzL2Rvd25y&#10;ZXYueG1sTI9BS8NAEIXvgv9hGcFbu2lTao3ZFBHFInhIW/C6TcZscHc2Zjdt9Nc7xYOehpn3ePO9&#10;fD06K47Yh9aTgtk0AYFU+bqlRsF+9zRZgQhRU62tJ1TwhQHWxeVFrrPan6jE4zY2gkMoZFqBibHL&#10;pAyVQafD1HdIrL373unIa9/IutcnDndWzpNkKZ1uiT8Y3eGDwepjOzgFN5uX4XPzGs33cpY+PlNa&#10;2t1bqdT11Xh/ByLiGP/McMZndCiY6eAHqoOwCibzlJ0KFufJ+u0i4W6H34Mscvm/QPEDAAD//wMA&#10;UEsBAi0AFAAGAAgAAAAhALaDOJL+AAAA4QEAABMAAAAAAAAAAAAAAAAAAAAAAFtDb250ZW50X1R5&#10;cGVzXS54bWxQSwECLQAUAAYACAAAACEAOP0h/9YAAACUAQAACwAAAAAAAAAAAAAAAAAvAQAAX3Jl&#10;bHMvLnJlbHNQSwECLQAUAAYACAAAACEAgLgOCCwCAABJBAAADgAAAAAAAAAAAAAAAAAuAgAAZHJz&#10;L2Uyb0RvYy54bWxQSwECLQAUAAYACAAAACEAMgrD8t4AAAAIAQAADwAAAAAAAAAAAAAAAACGBAAA&#10;ZHJzL2Rvd25yZXYueG1sUEsFBgAAAAAEAAQA8wAAAJEFAAAAAA==&#10;" strokecolor="#ffc000" strokeweight="4pt">
              <v:stroke linestyle="thinThick"/>
              <w10:wrap anchorx="margin"/>
            </v:line>
          </w:pict>
        </mc:Fallback>
      </mc:AlternateContent>
    </w:r>
    <w:bookmarkStart w:id="3" w:name="_Hlk165411068"/>
    <w:r w:rsidRPr="001A41F2">
      <w:rPr>
        <w:rFonts w:ascii="Cambria" w:hAnsi="Cambria"/>
        <w:noProof/>
        <w:sz w:val="22"/>
        <w:szCs w:val="22"/>
      </w:rPr>
      <w:t>https://doi.org/10.55681/ijssh.v2i</w:t>
    </w:r>
    <w:r w:rsidR="00A52DA3">
      <w:rPr>
        <w:rFonts w:ascii="Cambria" w:hAnsi="Cambria"/>
        <w:noProof/>
        <w:sz w:val="22"/>
        <w:szCs w:val="22"/>
      </w:rPr>
      <w:t>2</w:t>
    </w:r>
    <w:r w:rsidRPr="001A41F2">
      <w:rPr>
        <w:rFonts w:ascii="Cambria" w:hAnsi="Cambria"/>
        <w:noProof/>
        <w:sz w:val="22"/>
        <w:szCs w:val="22"/>
      </w:rPr>
      <w:t>.1</w:t>
    </w:r>
    <w:bookmarkEnd w:id="3"/>
    <w:r w:rsidR="00BB7F5B">
      <w:rPr>
        <w:rFonts w:ascii="Cambria" w:hAnsi="Cambria"/>
        <w:noProof/>
        <w:sz w:val="22"/>
        <w:szCs w:val="22"/>
      </w:rPr>
      <w:t>5</w:t>
    </w:r>
    <w:r w:rsidR="0093226B">
      <w:rPr>
        <w:rFonts w:ascii="Cambria" w:hAnsi="Cambria"/>
        <w:noProof/>
        <w:sz w:val="22"/>
        <w:szCs w:val="22"/>
      </w:rPr>
      <w:t>0</w:t>
    </w:r>
    <w:r w:rsidR="00BB7F5B">
      <w:rPr>
        <w:rFonts w:ascii="Cambria" w:hAnsi="Cambria"/>
        <w:noProof/>
        <w:sz w:val="22"/>
        <w:szCs w:val="22"/>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B71E5"/>
    <w:multiLevelType w:val="hybridMultilevel"/>
    <w:tmpl w:val="77CE74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A295BDD"/>
    <w:multiLevelType w:val="hybridMultilevel"/>
    <w:tmpl w:val="FC981A6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 w15:restartNumberingAfterBreak="0">
    <w:nsid w:val="5CA204DA"/>
    <w:multiLevelType w:val="hybridMultilevel"/>
    <w:tmpl w:val="B024F0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5" w15:restartNumberingAfterBreak="0">
    <w:nsid w:val="69D2628A"/>
    <w:multiLevelType w:val="hybridMultilevel"/>
    <w:tmpl w:val="E0B64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487748462">
    <w:abstractNumId w:val="4"/>
  </w:num>
  <w:num w:numId="2" w16cid:durableId="1775439236">
    <w:abstractNumId w:val="2"/>
  </w:num>
  <w:num w:numId="3" w16cid:durableId="311758048">
    <w:abstractNumId w:val="6"/>
  </w:num>
  <w:num w:numId="4" w16cid:durableId="1183938997">
    <w:abstractNumId w:val="3"/>
  </w:num>
  <w:num w:numId="5" w16cid:durableId="1402945573">
    <w:abstractNumId w:val="0"/>
  </w:num>
  <w:num w:numId="6" w16cid:durableId="1874682722">
    <w:abstractNumId w:val="5"/>
  </w:num>
  <w:num w:numId="7" w16cid:durableId="88941525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numFmt w:val="lowerLette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rA0NTE3NTI2NrQwMzNX0lEKTi0uzszPAykwsagFAJz4UHgtAAAA"/>
  </w:docVars>
  <w:rsids>
    <w:rsidRoot w:val="007D0AC6"/>
    <w:rsid w:val="00001093"/>
    <w:rsid w:val="000013CF"/>
    <w:rsid w:val="00002882"/>
    <w:rsid w:val="00003436"/>
    <w:rsid w:val="0000385F"/>
    <w:rsid w:val="0000563C"/>
    <w:rsid w:val="00005EFC"/>
    <w:rsid w:val="00006142"/>
    <w:rsid w:val="00007744"/>
    <w:rsid w:val="000106D0"/>
    <w:rsid w:val="00012CEF"/>
    <w:rsid w:val="00014633"/>
    <w:rsid w:val="00015F2A"/>
    <w:rsid w:val="00017858"/>
    <w:rsid w:val="00017CB1"/>
    <w:rsid w:val="00021949"/>
    <w:rsid w:val="000245FE"/>
    <w:rsid w:val="00027142"/>
    <w:rsid w:val="000278FB"/>
    <w:rsid w:val="000279BE"/>
    <w:rsid w:val="00034200"/>
    <w:rsid w:val="00034C84"/>
    <w:rsid w:val="00036D6B"/>
    <w:rsid w:val="00037A68"/>
    <w:rsid w:val="000416A3"/>
    <w:rsid w:val="000437AE"/>
    <w:rsid w:val="000453A4"/>
    <w:rsid w:val="000474E3"/>
    <w:rsid w:val="00047710"/>
    <w:rsid w:val="000523C5"/>
    <w:rsid w:val="00053FB7"/>
    <w:rsid w:val="0006020A"/>
    <w:rsid w:val="00060330"/>
    <w:rsid w:val="00060F5C"/>
    <w:rsid w:val="00061D77"/>
    <w:rsid w:val="00062720"/>
    <w:rsid w:val="00065E47"/>
    <w:rsid w:val="00066063"/>
    <w:rsid w:val="00067BAA"/>
    <w:rsid w:val="00070703"/>
    <w:rsid w:val="00070F21"/>
    <w:rsid w:val="0007154C"/>
    <w:rsid w:val="0007236F"/>
    <w:rsid w:val="00073635"/>
    <w:rsid w:val="00076C16"/>
    <w:rsid w:val="000776D4"/>
    <w:rsid w:val="00080CCD"/>
    <w:rsid w:val="00080D55"/>
    <w:rsid w:val="000830A2"/>
    <w:rsid w:val="00083B9D"/>
    <w:rsid w:val="00083DD6"/>
    <w:rsid w:val="0008463A"/>
    <w:rsid w:val="00085121"/>
    <w:rsid w:val="00086551"/>
    <w:rsid w:val="000877AC"/>
    <w:rsid w:val="00087876"/>
    <w:rsid w:val="00087AF7"/>
    <w:rsid w:val="00090B78"/>
    <w:rsid w:val="00093380"/>
    <w:rsid w:val="00094EB8"/>
    <w:rsid w:val="00095C3E"/>
    <w:rsid w:val="00096883"/>
    <w:rsid w:val="000973CC"/>
    <w:rsid w:val="00097958"/>
    <w:rsid w:val="00097B16"/>
    <w:rsid w:val="00097E2D"/>
    <w:rsid w:val="000A15DA"/>
    <w:rsid w:val="000A58C5"/>
    <w:rsid w:val="000A592D"/>
    <w:rsid w:val="000A643C"/>
    <w:rsid w:val="000A7ACA"/>
    <w:rsid w:val="000B0641"/>
    <w:rsid w:val="000B5480"/>
    <w:rsid w:val="000B682B"/>
    <w:rsid w:val="000B79E0"/>
    <w:rsid w:val="000C03DA"/>
    <w:rsid w:val="000C1942"/>
    <w:rsid w:val="000C4B17"/>
    <w:rsid w:val="000C6C46"/>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E78A4"/>
    <w:rsid w:val="000F279B"/>
    <w:rsid w:val="000F27BF"/>
    <w:rsid w:val="000F29E1"/>
    <w:rsid w:val="000F48FE"/>
    <w:rsid w:val="000F61E2"/>
    <w:rsid w:val="000F7ED5"/>
    <w:rsid w:val="0010046E"/>
    <w:rsid w:val="00102A61"/>
    <w:rsid w:val="001041EB"/>
    <w:rsid w:val="0010486D"/>
    <w:rsid w:val="00104BF1"/>
    <w:rsid w:val="00105140"/>
    <w:rsid w:val="00106F02"/>
    <w:rsid w:val="001078A8"/>
    <w:rsid w:val="00107904"/>
    <w:rsid w:val="00111543"/>
    <w:rsid w:val="001129DE"/>
    <w:rsid w:val="0011369D"/>
    <w:rsid w:val="00113F18"/>
    <w:rsid w:val="001140EF"/>
    <w:rsid w:val="00114470"/>
    <w:rsid w:val="00117326"/>
    <w:rsid w:val="00117C85"/>
    <w:rsid w:val="00121C37"/>
    <w:rsid w:val="00122833"/>
    <w:rsid w:val="00124C35"/>
    <w:rsid w:val="00125C41"/>
    <w:rsid w:val="00126B1A"/>
    <w:rsid w:val="0013179E"/>
    <w:rsid w:val="00131A6C"/>
    <w:rsid w:val="00131E4C"/>
    <w:rsid w:val="00133B59"/>
    <w:rsid w:val="00136716"/>
    <w:rsid w:val="0013674E"/>
    <w:rsid w:val="00137465"/>
    <w:rsid w:val="00137E25"/>
    <w:rsid w:val="00137F36"/>
    <w:rsid w:val="00142C40"/>
    <w:rsid w:val="001434C3"/>
    <w:rsid w:val="001441CB"/>
    <w:rsid w:val="00145453"/>
    <w:rsid w:val="0014611F"/>
    <w:rsid w:val="00146861"/>
    <w:rsid w:val="001517E4"/>
    <w:rsid w:val="00151E7C"/>
    <w:rsid w:val="00153387"/>
    <w:rsid w:val="00154084"/>
    <w:rsid w:val="00154C55"/>
    <w:rsid w:val="00157C06"/>
    <w:rsid w:val="00161845"/>
    <w:rsid w:val="00162849"/>
    <w:rsid w:val="00165D0E"/>
    <w:rsid w:val="00166052"/>
    <w:rsid w:val="00166432"/>
    <w:rsid w:val="001669CC"/>
    <w:rsid w:val="00167012"/>
    <w:rsid w:val="001671A8"/>
    <w:rsid w:val="0016761A"/>
    <w:rsid w:val="00167BE2"/>
    <w:rsid w:val="00171713"/>
    <w:rsid w:val="0017238E"/>
    <w:rsid w:val="00172E96"/>
    <w:rsid w:val="00177E2C"/>
    <w:rsid w:val="00180992"/>
    <w:rsid w:val="00180FD2"/>
    <w:rsid w:val="00180FD4"/>
    <w:rsid w:val="00181509"/>
    <w:rsid w:val="00181965"/>
    <w:rsid w:val="001835CE"/>
    <w:rsid w:val="00183CD4"/>
    <w:rsid w:val="00184462"/>
    <w:rsid w:val="00185202"/>
    <w:rsid w:val="00187B69"/>
    <w:rsid w:val="0019050C"/>
    <w:rsid w:val="00192E8C"/>
    <w:rsid w:val="0019391D"/>
    <w:rsid w:val="001941BA"/>
    <w:rsid w:val="00195579"/>
    <w:rsid w:val="001964E7"/>
    <w:rsid w:val="001A0839"/>
    <w:rsid w:val="001A33EF"/>
    <w:rsid w:val="001A41F2"/>
    <w:rsid w:val="001A58B2"/>
    <w:rsid w:val="001B2439"/>
    <w:rsid w:val="001B2EF9"/>
    <w:rsid w:val="001B3CD5"/>
    <w:rsid w:val="001B4AB3"/>
    <w:rsid w:val="001B5250"/>
    <w:rsid w:val="001B5719"/>
    <w:rsid w:val="001B621C"/>
    <w:rsid w:val="001B64D0"/>
    <w:rsid w:val="001B7481"/>
    <w:rsid w:val="001B7915"/>
    <w:rsid w:val="001C0FE6"/>
    <w:rsid w:val="001C19EB"/>
    <w:rsid w:val="001C1DDC"/>
    <w:rsid w:val="001C6EE0"/>
    <w:rsid w:val="001C7AC5"/>
    <w:rsid w:val="001D04CA"/>
    <w:rsid w:val="001D0CB2"/>
    <w:rsid w:val="001D19C3"/>
    <w:rsid w:val="001D218B"/>
    <w:rsid w:val="001D2AB8"/>
    <w:rsid w:val="001D4B4F"/>
    <w:rsid w:val="001D7C0D"/>
    <w:rsid w:val="001E1922"/>
    <w:rsid w:val="001E2071"/>
    <w:rsid w:val="001E4E0D"/>
    <w:rsid w:val="001E5CFB"/>
    <w:rsid w:val="001E608B"/>
    <w:rsid w:val="001E69C1"/>
    <w:rsid w:val="001E7DCD"/>
    <w:rsid w:val="001E7FFA"/>
    <w:rsid w:val="001F0AFC"/>
    <w:rsid w:val="001F470F"/>
    <w:rsid w:val="001F4ACD"/>
    <w:rsid w:val="001F6170"/>
    <w:rsid w:val="001F63D7"/>
    <w:rsid w:val="001F6ACF"/>
    <w:rsid w:val="001F6FB1"/>
    <w:rsid w:val="00204248"/>
    <w:rsid w:val="00204431"/>
    <w:rsid w:val="0020464A"/>
    <w:rsid w:val="00204A25"/>
    <w:rsid w:val="0020608E"/>
    <w:rsid w:val="002073B6"/>
    <w:rsid w:val="002076CA"/>
    <w:rsid w:val="002079DD"/>
    <w:rsid w:val="0021228F"/>
    <w:rsid w:val="00212DCC"/>
    <w:rsid w:val="002141C1"/>
    <w:rsid w:val="00215A82"/>
    <w:rsid w:val="00216F2A"/>
    <w:rsid w:val="00217B67"/>
    <w:rsid w:val="00220914"/>
    <w:rsid w:val="00221D61"/>
    <w:rsid w:val="00221FB3"/>
    <w:rsid w:val="00222968"/>
    <w:rsid w:val="00224456"/>
    <w:rsid w:val="00225BEA"/>
    <w:rsid w:val="00230440"/>
    <w:rsid w:val="00230AAB"/>
    <w:rsid w:val="00231A19"/>
    <w:rsid w:val="00231C49"/>
    <w:rsid w:val="00232081"/>
    <w:rsid w:val="002322E0"/>
    <w:rsid w:val="00232DA1"/>
    <w:rsid w:val="002335E3"/>
    <w:rsid w:val="00233C44"/>
    <w:rsid w:val="00236F57"/>
    <w:rsid w:val="002378BD"/>
    <w:rsid w:val="00237B26"/>
    <w:rsid w:val="00240303"/>
    <w:rsid w:val="00240D98"/>
    <w:rsid w:val="00240DB7"/>
    <w:rsid w:val="0024180A"/>
    <w:rsid w:val="0024268D"/>
    <w:rsid w:val="00245F43"/>
    <w:rsid w:val="0024646F"/>
    <w:rsid w:val="00246556"/>
    <w:rsid w:val="00250442"/>
    <w:rsid w:val="00250A66"/>
    <w:rsid w:val="00254EC2"/>
    <w:rsid w:val="002550AB"/>
    <w:rsid w:val="00256322"/>
    <w:rsid w:val="002575A8"/>
    <w:rsid w:val="0026044D"/>
    <w:rsid w:val="00260476"/>
    <w:rsid w:val="00261B88"/>
    <w:rsid w:val="00261CB6"/>
    <w:rsid w:val="0026229E"/>
    <w:rsid w:val="002622CD"/>
    <w:rsid w:val="002624F2"/>
    <w:rsid w:val="00263F1E"/>
    <w:rsid w:val="00265363"/>
    <w:rsid w:val="00266574"/>
    <w:rsid w:val="002668F8"/>
    <w:rsid w:val="00270E78"/>
    <w:rsid w:val="00271390"/>
    <w:rsid w:val="00271AB9"/>
    <w:rsid w:val="0027245E"/>
    <w:rsid w:val="002743A4"/>
    <w:rsid w:val="00274BCC"/>
    <w:rsid w:val="00275406"/>
    <w:rsid w:val="002759AE"/>
    <w:rsid w:val="002769E7"/>
    <w:rsid w:val="00281882"/>
    <w:rsid w:val="00281D99"/>
    <w:rsid w:val="002821B9"/>
    <w:rsid w:val="0028450D"/>
    <w:rsid w:val="00290D1B"/>
    <w:rsid w:val="00291EBF"/>
    <w:rsid w:val="00296D8E"/>
    <w:rsid w:val="00297B35"/>
    <w:rsid w:val="002A0772"/>
    <w:rsid w:val="002A2115"/>
    <w:rsid w:val="002A65EF"/>
    <w:rsid w:val="002A742D"/>
    <w:rsid w:val="002A75B8"/>
    <w:rsid w:val="002B0601"/>
    <w:rsid w:val="002B10C7"/>
    <w:rsid w:val="002B2F8F"/>
    <w:rsid w:val="002B66EF"/>
    <w:rsid w:val="002B692B"/>
    <w:rsid w:val="002B6EC9"/>
    <w:rsid w:val="002B7609"/>
    <w:rsid w:val="002C0665"/>
    <w:rsid w:val="002C2689"/>
    <w:rsid w:val="002C2C92"/>
    <w:rsid w:val="002C4749"/>
    <w:rsid w:val="002C6317"/>
    <w:rsid w:val="002D07B9"/>
    <w:rsid w:val="002D0C71"/>
    <w:rsid w:val="002D0F04"/>
    <w:rsid w:val="002D0F6D"/>
    <w:rsid w:val="002D31A6"/>
    <w:rsid w:val="002D4A56"/>
    <w:rsid w:val="002D797A"/>
    <w:rsid w:val="002E0BC4"/>
    <w:rsid w:val="002E1587"/>
    <w:rsid w:val="002E184C"/>
    <w:rsid w:val="002E258D"/>
    <w:rsid w:val="002E2AA6"/>
    <w:rsid w:val="002E2CAE"/>
    <w:rsid w:val="002E30C7"/>
    <w:rsid w:val="002E32D4"/>
    <w:rsid w:val="002E6409"/>
    <w:rsid w:val="002F137A"/>
    <w:rsid w:val="002F267D"/>
    <w:rsid w:val="002F3D30"/>
    <w:rsid w:val="002F41A4"/>
    <w:rsid w:val="002F48E3"/>
    <w:rsid w:val="002F4A0F"/>
    <w:rsid w:val="002F6BBA"/>
    <w:rsid w:val="002F6DFA"/>
    <w:rsid w:val="002F7C5F"/>
    <w:rsid w:val="002F7D7E"/>
    <w:rsid w:val="0030038F"/>
    <w:rsid w:val="00302D7F"/>
    <w:rsid w:val="00305125"/>
    <w:rsid w:val="00306442"/>
    <w:rsid w:val="003069FB"/>
    <w:rsid w:val="00312C0C"/>
    <w:rsid w:val="00313AA2"/>
    <w:rsid w:val="003200C9"/>
    <w:rsid w:val="003209C7"/>
    <w:rsid w:val="00320C05"/>
    <w:rsid w:val="0032306D"/>
    <w:rsid w:val="00326170"/>
    <w:rsid w:val="003263E9"/>
    <w:rsid w:val="00326D35"/>
    <w:rsid w:val="00331183"/>
    <w:rsid w:val="00332063"/>
    <w:rsid w:val="00332279"/>
    <w:rsid w:val="00332CEF"/>
    <w:rsid w:val="00333AB9"/>
    <w:rsid w:val="00333C06"/>
    <w:rsid w:val="0033459B"/>
    <w:rsid w:val="00335BE8"/>
    <w:rsid w:val="00337C87"/>
    <w:rsid w:val="0034104E"/>
    <w:rsid w:val="0034265F"/>
    <w:rsid w:val="00343597"/>
    <w:rsid w:val="00343A49"/>
    <w:rsid w:val="00344055"/>
    <w:rsid w:val="00346441"/>
    <w:rsid w:val="003475EC"/>
    <w:rsid w:val="0035076B"/>
    <w:rsid w:val="00352BEB"/>
    <w:rsid w:val="00353885"/>
    <w:rsid w:val="00361EB1"/>
    <w:rsid w:val="003629D1"/>
    <w:rsid w:val="00362D59"/>
    <w:rsid w:val="003637CE"/>
    <w:rsid w:val="00367C41"/>
    <w:rsid w:val="003715EC"/>
    <w:rsid w:val="003725A2"/>
    <w:rsid w:val="00372CC5"/>
    <w:rsid w:val="00373170"/>
    <w:rsid w:val="00373753"/>
    <w:rsid w:val="00376867"/>
    <w:rsid w:val="00376A96"/>
    <w:rsid w:val="003772AC"/>
    <w:rsid w:val="00381E56"/>
    <w:rsid w:val="003826FF"/>
    <w:rsid w:val="00382701"/>
    <w:rsid w:val="00384AD4"/>
    <w:rsid w:val="00393D9D"/>
    <w:rsid w:val="00393E61"/>
    <w:rsid w:val="00396D02"/>
    <w:rsid w:val="00397AC9"/>
    <w:rsid w:val="003A0041"/>
    <w:rsid w:val="003A0AFC"/>
    <w:rsid w:val="003A1C3E"/>
    <w:rsid w:val="003A2970"/>
    <w:rsid w:val="003A5088"/>
    <w:rsid w:val="003A64D1"/>
    <w:rsid w:val="003A7D80"/>
    <w:rsid w:val="003B0E46"/>
    <w:rsid w:val="003B14AA"/>
    <w:rsid w:val="003B19C7"/>
    <w:rsid w:val="003B25A5"/>
    <w:rsid w:val="003B3120"/>
    <w:rsid w:val="003B3537"/>
    <w:rsid w:val="003B567E"/>
    <w:rsid w:val="003B6932"/>
    <w:rsid w:val="003B6E60"/>
    <w:rsid w:val="003B79EB"/>
    <w:rsid w:val="003B7ED0"/>
    <w:rsid w:val="003C0D91"/>
    <w:rsid w:val="003C1009"/>
    <w:rsid w:val="003C1E29"/>
    <w:rsid w:val="003C2B5E"/>
    <w:rsid w:val="003C3E42"/>
    <w:rsid w:val="003C4B05"/>
    <w:rsid w:val="003C524A"/>
    <w:rsid w:val="003C55C1"/>
    <w:rsid w:val="003C72E2"/>
    <w:rsid w:val="003D07D2"/>
    <w:rsid w:val="003D5B84"/>
    <w:rsid w:val="003D79CF"/>
    <w:rsid w:val="003E0207"/>
    <w:rsid w:val="003E304D"/>
    <w:rsid w:val="003E3BAD"/>
    <w:rsid w:val="003E4AA5"/>
    <w:rsid w:val="003F0964"/>
    <w:rsid w:val="003F18A1"/>
    <w:rsid w:val="003F1D93"/>
    <w:rsid w:val="003F2EB6"/>
    <w:rsid w:val="003F4897"/>
    <w:rsid w:val="003F6587"/>
    <w:rsid w:val="00402C7D"/>
    <w:rsid w:val="00403A74"/>
    <w:rsid w:val="00405700"/>
    <w:rsid w:val="00407351"/>
    <w:rsid w:val="00407C2D"/>
    <w:rsid w:val="004106DF"/>
    <w:rsid w:val="00411A71"/>
    <w:rsid w:val="00411C0C"/>
    <w:rsid w:val="0041359A"/>
    <w:rsid w:val="0041399A"/>
    <w:rsid w:val="00414535"/>
    <w:rsid w:val="00414EA0"/>
    <w:rsid w:val="00415C0C"/>
    <w:rsid w:val="00420D64"/>
    <w:rsid w:val="0042253C"/>
    <w:rsid w:val="004230A6"/>
    <w:rsid w:val="00423597"/>
    <w:rsid w:val="00424E85"/>
    <w:rsid w:val="00425BE9"/>
    <w:rsid w:val="00425F0C"/>
    <w:rsid w:val="00427072"/>
    <w:rsid w:val="00427B86"/>
    <w:rsid w:val="0043098B"/>
    <w:rsid w:val="00434ED8"/>
    <w:rsid w:val="0043585C"/>
    <w:rsid w:val="004373D5"/>
    <w:rsid w:val="00441664"/>
    <w:rsid w:val="00441F35"/>
    <w:rsid w:val="00443205"/>
    <w:rsid w:val="004439D2"/>
    <w:rsid w:val="00445E21"/>
    <w:rsid w:val="004503E9"/>
    <w:rsid w:val="0045122D"/>
    <w:rsid w:val="004532CB"/>
    <w:rsid w:val="00453463"/>
    <w:rsid w:val="004550E4"/>
    <w:rsid w:val="004558C1"/>
    <w:rsid w:val="00455F8D"/>
    <w:rsid w:val="004637E8"/>
    <w:rsid w:val="00465B3A"/>
    <w:rsid w:val="00467368"/>
    <w:rsid w:val="004674CD"/>
    <w:rsid w:val="004710EE"/>
    <w:rsid w:val="00472E56"/>
    <w:rsid w:val="004740EC"/>
    <w:rsid w:val="004819CF"/>
    <w:rsid w:val="00481DA2"/>
    <w:rsid w:val="00482432"/>
    <w:rsid w:val="00482E37"/>
    <w:rsid w:val="00484866"/>
    <w:rsid w:val="004859D6"/>
    <w:rsid w:val="00485FD1"/>
    <w:rsid w:val="0048797E"/>
    <w:rsid w:val="00487DD3"/>
    <w:rsid w:val="004902C8"/>
    <w:rsid w:val="004905D4"/>
    <w:rsid w:val="004907F7"/>
    <w:rsid w:val="00492E44"/>
    <w:rsid w:val="004947B9"/>
    <w:rsid w:val="00494BE8"/>
    <w:rsid w:val="0049514C"/>
    <w:rsid w:val="00496AF6"/>
    <w:rsid w:val="00496DFD"/>
    <w:rsid w:val="004A0189"/>
    <w:rsid w:val="004A09B0"/>
    <w:rsid w:val="004A0C8B"/>
    <w:rsid w:val="004A187E"/>
    <w:rsid w:val="004A335F"/>
    <w:rsid w:val="004A3585"/>
    <w:rsid w:val="004A3C68"/>
    <w:rsid w:val="004A3F3D"/>
    <w:rsid w:val="004A4FDB"/>
    <w:rsid w:val="004A5FC0"/>
    <w:rsid w:val="004A7C83"/>
    <w:rsid w:val="004B15EE"/>
    <w:rsid w:val="004B1FFE"/>
    <w:rsid w:val="004B2D84"/>
    <w:rsid w:val="004B2F8C"/>
    <w:rsid w:val="004B4EDE"/>
    <w:rsid w:val="004B560E"/>
    <w:rsid w:val="004B589F"/>
    <w:rsid w:val="004B5D34"/>
    <w:rsid w:val="004B661B"/>
    <w:rsid w:val="004B76DC"/>
    <w:rsid w:val="004C0B2C"/>
    <w:rsid w:val="004C2386"/>
    <w:rsid w:val="004C3BEB"/>
    <w:rsid w:val="004C59ED"/>
    <w:rsid w:val="004C65D5"/>
    <w:rsid w:val="004C6BC9"/>
    <w:rsid w:val="004D4395"/>
    <w:rsid w:val="004D7295"/>
    <w:rsid w:val="004E140A"/>
    <w:rsid w:val="004E154B"/>
    <w:rsid w:val="004E1914"/>
    <w:rsid w:val="004E3613"/>
    <w:rsid w:val="004E3AFD"/>
    <w:rsid w:val="004E3CAD"/>
    <w:rsid w:val="004E6C69"/>
    <w:rsid w:val="004E6CBB"/>
    <w:rsid w:val="004E7169"/>
    <w:rsid w:val="004F0C7C"/>
    <w:rsid w:val="004F101E"/>
    <w:rsid w:val="004F21DC"/>
    <w:rsid w:val="004F2A11"/>
    <w:rsid w:val="004F3166"/>
    <w:rsid w:val="004F3208"/>
    <w:rsid w:val="004F4D4A"/>
    <w:rsid w:val="004F54D2"/>
    <w:rsid w:val="004F6193"/>
    <w:rsid w:val="00501713"/>
    <w:rsid w:val="0050281D"/>
    <w:rsid w:val="00505F41"/>
    <w:rsid w:val="0050794C"/>
    <w:rsid w:val="0051075B"/>
    <w:rsid w:val="00511236"/>
    <w:rsid w:val="00511539"/>
    <w:rsid w:val="00512DE0"/>
    <w:rsid w:val="0051361F"/>
    <w:rsid w:val="00515455"/>
    <w:rsid w:val="00515C8B"/>
    <w:rsid w:val="00516317"/>
    <w:rsid w:val="005174E6"/>
    <w:rsid w:val="005174FF"/>
    <w:rsid w:val="00520EC3"/>
    <w:rsid w:val="0052138C"/>
    <w:rsid w:val="005213A1"/>
    <w:rsid w:val="00523362"/>
    <w:rsid w:val="00523B26"/>
    <w:rsid w:val="0052442F"/>
    <w:rsid w:val="005265AC"/>
    <w:rsid w:val="00526CFA"/>
    <w:rsid w:val="00530CAF"/>
    <w:rsid w:val="00531148"/>
    <w:rsid w:val="0053172B"/>
    <w:rsid w:val="005318DF"/>
    <w:rsid w:val="00532521"/>
    <w:rsid w:val="00532941"/>
    <w:rsid w:val="00534B52"/>
    <w:rsid w:val="00535A39"/>
    <w:rsid w:val="005373E3"/>
    <w:rsid w:val="00540DCE"/>
    <w:rsid w:val="00540DD7"/>
    <w:rsid w:val="00541F86"/>
    <w:rsid w:val="00541FCB"/>
    <w:rsid w:val="0054283A"/>
    <w:rsid w:val="0054292B"/>
    <w:rsid w:val="00544B9C"/>
    <w:rsid w:val="00545E9C"/>
    <w:rsid w:val="00547658"/>
    <w:rsid w:val="0054768C"/>
    <w:rsid w:val="005552D1"/>
    <w:rsid w:val="005561EF"/>
    <w:rsid w:val="0055649A"/>
    <w:rsid w:val="00556C5D"/>
    <w:rsid w:val="00560950"/>
    <w:rsid w:val="00563102"/>
    <w:rsid w:val="00566DDC"/>
    <w:rsid w:val="00572013"/>
    <w:rsid w:val="005722C8"/>
    <w:rsid w:val="00573257"/>
    <w:rsid w:val="00575037"/>
    <w:rsid w:val="005778F7"/>
    <w:rsid w:val="00577A3F"/>
    <w:rsid w:val="005805DF"/>
    <w:rsid w:val="00580BF2"/>
    <w:rsid w:val="0058326E"/>
    <w:rsid w:val="005833B8"/>
    <w:rsid w:val="00583A03"/>
    <w:rsid w:val="005841BA"/>
    <w:rsid w:val="00584301"/>
    <w:rsid w:val="005877F2"/>
    <w:rsid w:val="005911E5"/>
    <w:rsid w:val="00591ECF"/>
    <w:rsid w:val="00592442"/>
    <w:rsid w:val="0059283B"/>
    <w:rsid w:val="005935FD"/>
    <w:rsid w:val="00593E92"/>
    <w:rsid w:val="005949F1"/>
    <w:rsid w:val="005956F7"/>
    <w:rsid w:val="00595CB2"/>
    <w:rsid w:val="005978C8"/>
    <w:rsid w:val="005A0A0F"/>
    <w:rsid w:val="005A1AD0"/>
    <w:rsid w:val="005A2361"/>
    <w:rsid w:val="005A24ED"/>
    <w:rsid w:val="005A2573"/>
    <w:rsid w:val="005A32DE"/>
    <w:rsid w:val="005A4783"/>
    <w:rsid w:val="005A5A12"/>
    <w:rsid w:val="005A6B87"/>
    <w:rsid w:val="005B0825"/>
    <w:rsid w:val="005B0A84"/>
    <w:rsid w:val="005B0A88"/>
    <w:rsid w:val="005B2D16"/>
    <w:rsid w:val="005B4DAF"/>
    <w:rsid w:val="005B4FF3"/>
    <w:rsid w:val="005B56A0"/>
    <w:rsid w:val="005B5788"/>
    <w:rsid w:val="005B60D5"/>
    <w:rsid w:val="005B693A"/>
    <w:rsid w:val="005B6AAE"/>
    <w:rsid w:val="005B7CAF"/>
    <w:rsid w:val="005C11D6"/>
    <w:rsid w:val="005C12EA"/>
    <w:rsid w:val="005C1759"/>
    <w:rsid w:val="005C234E"/>
    <w:rsid w:val="005C512F"/>
    <w:rsid w:val="005C6510"/>
    <w:rsid w:val="005C7360"/>
    <w:rsid w:val="005C7595"/>
    <w:rsid w:val="005D02EE"/>
    <w:rsid w:val="005D0C1B"/>
    <w:rsid w:val="005D210E"/>
    <w:rsid w:val="005D3D27"/>
    <w:rsid w:val="005D464B"/>
    <w:rsid w:val="005D7D3A"/>
    <w:rsid w:val="005D7EB1"/>
    <w:rsid w:val="005E0E3A"/>
    <w:rsid w:val="005E6EF7"/>
    <w:rsid w:val="005E736A"/>
    <w:rsid w:val="005E75FC"/>
    <w:rsid w:val="005F042D"/>
    <w:rsid w:val="005F0881"/>
    <w:rsid w:val="005F3D1C"/>
    <w:rsid w:val="005F534C"/>
    <w:rsid w:val="005F75F8"/>
    <w:rsid w:val="006044C7"/>
    <w:rsid w:val="006077DA"/>
    <w:rsid w:val="006123B6"/>
    <w:rsid w:val="00612835"/>
    <w:rsid w:val="00613052"/>
    <w:rsid w:val="00613977"/>
    <w:rsid w:val="006147F1"/>
    <w:rsid w:val="0061627D"/>
    <w:rsid w:val="00616614"/>
    <w:rsid w:val="006206C7"/>
    <w:rsid w:val="006212FA"/>
    <w:rsid w:val="00621A98"/>
    <w:rsid w:val="00622118"/>
    <w:rsid w:val="00622EC4"/>
    <w:rsid w:val="0062488B"/>
    <w:rsid w:val="0063104B"/>
    <w:rsid w:val="006327F1"/>
    <w:rsid w:val="00636167"/>
    <w:rsid w:val="006376FE"/>
    <w:rsid w:val="006405F2"/>
    <w:rsid w:val="00644417"/>
    <w:rsid w:val="00647075"/>
    <w:rsid w:val="00652EBE"/>
    <w:rsid w:val="006549EF"/>
    <w:rsid w:val="0065591C"/>
    <w:rsid w:val="00655C14"/>
    <w:rsid w:val="00656420"/>
    <w:rsid w:val="00656702"/>
    <w:rsid w:val="00662070"/>
    <w:rsid w:val="0066237A"/>
    <w:rsid w:val="006628A9"/>
    <w:rsid w:val="00665A9F"/>
    <w:rsid w:val="00665B37"/>
    <w:rsid w:val="00666386"/>
    <w:rsid w:val="00667116"/>
    <w:rsid w:val="00671669"/>
    <w:rsid w:val="006719D8"/>
    <w:rsid w:val="0067364F"/>
    <w:rsid w:val="00675D81"/>
    <w:rsid w:val="00676455"/>
    <w:rsid w:val="00676EB9"/>
    <w:rsid w:val="006807F6"/>
    <w:rsid w:val="00680CDD"/>
    <w:rsid w:val="00681951"/>
    <w:rsid w:val="00682B00"/>
    <w:rsid w:val="00685AA5"/>
    <w:rsid w:val="00685FB4"/>
    <w:rsid w:val="006863DA"/>
    <w:rsid w:val="006877D2"/>
    <w:rsid w:val="00687CA7"/>
    <w:rsid w:val="00687D3A"/>
    <w:rsid w:val="006925E2"/>
    <w:rsid w:val="00694E32"/>
    <w:rsid w:val="006971E6"/>
    <w:rsid w:val="006975BC"/>
    <w:rsid w:val="006A0231"/>
    <w:rsid w:val="006A090C"/>
    <w:rsid w:val="006A1384"/>
    <w:rsid w:val="006A34DA"/>
    <w:rsid w:val="006A6AEE"/>
    <w:rsid w:val="006B027E"/>
    <w:rsid w:val="006B0965"/>
    <w:rsid w:val="006B1B79"/>
    <w:rsid w:val="006B3D0A"/>
    <w:rsid w:val="006B41B5"/>
    <w:rsid w:val="006B6167"/>
    <w:rsid w:val="006B6754"/>
    <w:rsid w:val="006B71FD"/>
    <w:rsid w:val="006C0661"/>
    <w:rsid w:val="006C080E"/>
    <w:rsid w:val="006C0E3B"/>
    <w:rsid w:val="006C18AF"/>
    <w:rsid w:val="006C1C59"/>
    <w:rsid w:val="006C1D12"/>
    <w:rsid w:val="006D29E6"/>
    <w:rsid w:val="006D2EAB"/>
    <w:rsid w:val="006D449D"/>
    <w:rsid w:val="006D5851"/>
    <w:rsid w:val="006D5DAA"/>
    <w:rsid w:val="006D60D9"/>
    <w:rsid w:val="006D6178"/>
    <w:rsid w:val="006E361D"/>
    <w:rsid w:val="006E3810"/>
    <w:rsid w:val="006E44B1"/>
    <w:rsid w:val="006E492E"/>
    <w:rsid w:val="006E4C9D"/>
    <w:rsid w:val="006E5657"/>
    <w:rsid w:val="006E5DCF"/>
    <w:rsid w:val="006E669C"/>
    <w:rsid w:val="006E7824"/>
    <w:rsid w:val="006E786F"/>
    <w:rsid w:val="006E7F2D"/>
    <w:rsid w:val="006F01C3"/>
    <w:rsid w:val="006F0D11"/>
    <w:rsid w:val="006F0E5B"/>
    <w:rsid w:val="006F1685"/>
    <w:rsid w:val="006F4184"/>
    <w:rsid w:val="006F5B9E"/>
    <w:rsid w:val="006F7480"/>
    <w:rsid w:val="0070124C"/>
    <w:rsid w:val="007017C6"/>
    <w:rsid w:val="00701BCF"/>
    <w:rsid w:val="00701F13"/>
    <w:rsid w:val="007027BB"/>
    <w:rsid w:val="00705140"/>
    <w:rsid w:val="007066C5"/>
    <w:rsid w:val="007076B2"/>
    <w:rsid w:val="00712FFF"/>
    <w:rsid w:val="0071317C"/>
    <w:rsid w:val="007142C8"/>
    <w:rsid w:val="00717984"/>
    <w:rsid w:val="00717A32"/>
    <w:rsid w:val="00720729"/>
    <w:rsid w:val="007212E2"/>
    <w:rsid w:val="00723DEB"/>
    <w:rsid w:val="007240E7"/>
    <w:rsid w:val="007244A5"/>
    <w:rsid w:val="00724751"/>
    <w:rsid w:val="00731AEB"/>
    <w:rsid w:val="00731E24"/>
    <w:rsid w:val="00740C36"/>
    <w:rsid w:val="00741A8F"/>
    <w:rsid w:val="00742008"/>
    <w:rsid w:val="00743BA0"/>
    <w:rsid w:val="00743BA6"/>
    <w:rsid w:val="00743D06"/>
    <w:rsid w:val="00746FDF"/>
    <w:rsid w:val="00747DFD"/>
    <w:rsid w:val="00753288"/>
    <w:rsid w:val="00754329"/>
    <w:rsid w:val="007547A1"/>
    <w:rsid w:val="00756A93"/>
    <w:rsid w:val="0075769A"/>
    <w:rsid w:val="007624B6"/>
    <w:rsid w:val="00765DEF"/>
    <w:rsid w:val="00766E46"/>
    <w:rsid w:val="00770024"/>
    <w:rsid w:val="00770E6E"/>
    <w:rsid w:val="00771A7C"/>
    <w:rsid w:val="0077230A"/>
    <w:rsid w:val="0077246F"/>
    <w:rsid w:val="00772725"/>
    <w:rsid w:val="00773EB7"/>
    <w:rsid w:val="0077503F"/>
    <w:rsid w:val="007751AA"/>
    <w:rsid w:val="0077591C"/>
    <w:rsid w:val="00777AD7"/>
    <w:rsid w:val="00780E2D"/>
    <w:rsid w:val="007810F2"/>
    <w:rsid w:val="00784628"/>
    <w:rsid w:val="007912CE"/>
    <w:rsid w:val="0079451D"/>
    <w:rsid w:val="007A04C8"/>
    <w:rsid w:val="007A2393"/>
    <w:rsid w:val="007A3102"/>
    <w:rsid w:val="007A3B30"/>
    <w:rsid w:val="007A3E87"/>
    <w:rsid w:val="007A3FC0"/>
    <w:rsid w:val="007A49BA"/>
    <w:rsid w:val="007A609F"/>
    <w:rsid w:val="007A649D"/>
    <w:rsid w:val="007A7484"/>
    <w:rsid w:val="007B4146"/>
    <w:rsid w:val="007B57A1"/>
    <w:rsid w:val="007B5AC2"/>
    <w:rsid w:val="007B7535"/>
    <w:rsid w:val="007C0D3D"/>
    <w:rsid w:val="007C2A08"/>
    <w:rsid w:val="007C60D8"/>
    <w:rsid w:val="007C7016"/>
    <w:rsid w:val="007D0AC6"/>
    <w:rsid w:val="007D2077"/>
    <w:rsid w:val="007D6FA1"/>
    <w:rsid w:val="007D7A78"/>
    <w:rsid w:val="007E5812"/>
    <w:rsid w:val="007E68A5"/>
    <w:rsid w:val="007F10F6"/>
    <w:rsid w:val="007F1DAF"/>
    <w:rsid w:val="007F1EA9"/>
    <w:rsid w:val="007F1EC7"/>
    <w:rsid w:val="007F286F"/>
    <w:rsid w:val="007F2C82"/>
    <w:rsid w:val="007F36F4"/>
    <w:rsid w:val="007F3EAF"/>
    <w:rsid w:val="007F40B0"/>
    <w:rsid w:val="007F5F38"/>
    <w:rsid w:val="007F665B"/>
    <w:rsid w:val="00800043"/>
    <w:rsid w:val="00802BB6"/>
    <w:rsid w:val="008042C8"/>
    <w:rsid w:val="00805143"/>
    <w:rsid w:val="00805CFD"/>
    <w:rsid w:val="00807F15"/>
    <w:rsid w:val="0081359D"/>
    <w:rsid w:val="008136A0"/>
    <w:rsid w:val="00813CDD"/>
    <w:rsid w:val="00814164"/>
    <w:rsid w:val="00815A2E"/>
    <w:rsid w:val="008168B9"/>
    <w:rsid w:val="00820B4E"/>
    <w:rsid w:val="00822488"/>
    <w:rsid w:val="0082324C"/>
    <w:rsid w:val="00823B38"/>
    <w:rsid w:val="00823F1C"/>
    <w:rsid w:val="00824697"/>
    <w:rsid w:val="00827A30"/>
    <w:rsid w:val="008318B8"/>
    <w:rsid w:val="00831DDD"/>
    <w:rsid w:val="00832386"/>
    <w:rsid w:val="008332DA"/>
    <w:rsid w:val="0083391E"/>
    <w:rsid w:val="008344C2"/>
    <w:rsid w:val="00834BAC"/>
    <w:rsid w:val="00836D01"/>
    <w:rsid w:val="008379F3"/>
    <w:rsid w:val="00837EA3"/>
    <w:rsid w:val="008439A0"/>
    <w:rsid w:val="00843BE9"/>
    <w:rsid w:val="00843C01"/>
    <w:rsid w:val="008470A5"/>
    <w:rsid w:val="008508FF"/>
    <w:rsid w:val="00850CAC"/>
    <w:rsid w:val="0085152D"/>
    <w:rsid w:val="0085238C"/>
    <w:rsid w:val="008530DA"/>
    <w:rsid w:val="008538D0"/>
    <w:rsid w:val="00853BF4"/>
    <w:rsid w:val="00854649"/>
    <w:rsid w:val="00854ED5"/>
    <w:rsid w:val="00855965"/>
    <w:rsid w:val="00856356"/>
    <w:rsid w:val="008563F2"/>
    <w:rsid w:val="00860671"/>
    <w:rsid w:val="00862CD2"/>
    <w:rsid w:val="0086508B"/>
    <w:rsid w:val="00866017"/>
    <w:rsid w:val="00866E4F"/>
    <w:rsid w:val="0087156B"/>
    <w:rsid w:val="00871A57"/>
    <w:rsid w:val="00872D7E"/>
    <w:rsid w:val="00873624"/>
    <w:rsid w:val="008754E6"/>
    <w:rsid w:val="0087776F"/>
    <w:rsid w:val="00880ED4"/>
    <w:rsid w:val="0088233C"/>
    <w:rsid w:val="0088280A"/>
    <w:rsid w:val="00882BCF"/>
    <w:rsid w:val="00883E02"/>
    <w:rsid w:val="00883EB7"/>
    <w:rsid w:val="00886D42"/>
    <w:rsid w:val="00891C38"/>
    <w:rsid w:val="00891D35"/>
    <w:rsid w:val="00892C9F"/>
    <w:rsid w:val="00892FBD"/>
    <w:rsid w:val="00893AD8"/>
    <w:rsid w:val="00893D2C"/>
    <w:rsid w:val="00894D11"/>
    <w:rsid w:val="00895231"/>
    <w:rsid w:val="0089523F"/>
    <w:rsid w:val="00895A6E"/>
    <w:rsid w:val="008967E5"/>
    <w:rsid w:val="00897BCF"/>
    <w:rsid w:val="008A07FE"/>
    <w:rsid w:val="008A12AD"/>
    <w:rsid w:val="008A1677"/>
    <w:rsid w:val="008A3FA6"/>
    <w:rsid w:val="008A5F81"/>
    <w:rsid w:val="008A6436"/>
    <w:rsid w:val="008A6E5D"/>
    <w:rsid w:val="008B04B3"/>
    <w:rsid w:val="008B060F"/>
    <w:rsid w:val="008B144F"/>
    <w:rsid w:val="008B1A88"/>
    <w:rsid w:val="008B279B"/>
    <w:rsid w:val="008B3B85"/>
    <w:rsid w:val="008B42E3"/>
    <w:rsid w:val="008B4DE6"/>
    <w:rsid w:val="008B4E8C"/>
    <w:rsid w:val="008B60B8"/>
    <w:rsid w:val="008B6BF4"/>
    <w:rsid w:val="008B7187"/>
    <w:rsid w:val="008C12BE"/>
    <w:rsid w:val="008C17FC"/>
    <w:rsid w:val="008C1B93"/>
    <w:rsid w:val="008C22C7"/>
    <w:rsid w:val="008C38EB"/>
    <w:rsid w:val="008C414B"/>
    <w:rsid w:val="008C41C8"/>
    <w:rsid w:val="008C54EA"/>
    <w:rsid w:val="008C6701"/>
    <w:rsid w:val="008C671C"/>
    <w:rsid w:val="008D28A9"/>
    <w:rsid w:val="008D3BDF"/>
    <w:rsid w:val="008D5ED6"/>
    <w:rsid w:val="008D7EA2"/>
    <w:rsid w:val="008E0F80"/>
    <w:rsid w:val="008E17AF"/>
    <w:rsid w:val="008E18C0"/>
    <w:rsid w:val="008E1CA4"/>
    <w:rsid w:val="008E3FAA"/>
    <w:rsid w:val="008E737C"/>
    <w:rsid w:val="008F0001"/>
    <w:rsid w:val="008F05B8"/>
    <w:rsid w:val="008F0C9D"/>
    <w:rsid w:val="008F0D5A"/>
    <w:rsid w:val="008F1C12"/>
    <w:rsid w:val="008F326B"/>
    <w:rsid w:val="008F5A4B"/>
    <w:rsid w:val="008F5EF9"/>
    <w:rsid w:val="008F5F6F"/>
    <w:rsid w:val="009003D8"/>
    <w:rsid w:val="00900EC1"/>
    <w:rsid w:val="00901214"/>
    <w:rsid w:val="00904D6D"/>
    <w:rsid w:val="00904EC8"/>
    <w:rsid w:val="00906951"/>
    <w:rsid w:val="0091187A"/>
    <w:rsid w:val="00912FBC"/>
    <w:rsid w:val="00913D3B"/>
    <w:rsid w:val="00913F75"/>
    <w:rsid w:val="009156AC"/>
    <w:rsid w:val="00921D05"/>
    <w:rsid w:val="0092257C"/>
    <w:rsid w:val="00923121"/>
    <w:rsid w:val="0092464C"/>
    <w:rsid w:val="0092536F"/>
    <w:rsid w:val="009314C3"/>
    <w:rsid w:val="009317FD"/>
    <w:rsid w:val="0093226B"/>
    <w:rsid w:val="0094001A"/>
    <w:rsid w:val="009406FF"/>
    <w:rsid w:val="00941203"/>
    <w:rsid w:val="009416C1"/>
    <w:rsid w:val="0094367D"/>
    <w:rsid w:val="00943FA1"/>
    <w:rsid w:val="00945A5C"/>
    <w:rsid w:val="00945A74"/>
    <w:rsid w:val="00946389"/>
    <w:rsid w:val="0094738D"/>
    <w:rsid w:val="00950EF7"/>
    <w:rsid w:val="00954DC1"/>
    <w:rsid w:val="00955462"/>
    <w:rsid w:val="00955F17"/>
    <w:rsid w:val="00956EB6"/>
    <w:rsid w:val="00957C11"/>
    <w:rsid w:val="009617A9"/>
    <w:rsid w:val="009619C6"/>
    <w:rsid w:val="009665BE"/>
    <w:rsid w:val="009673AB"/>
    <w:rsid w:val="00970E84"/>
    <w:rsid w:val="00971153"/>
    <w:rsid w:val="009720B4"/>
    <w:rsid w:val="009758C4"/>
    <w:rsid w:val="00981036"/>
    <w:rsid w:val="00981E5F"/>
    <w:rsid w:val="00983846"/>
    <w:rsid w:val="0098477B"/>
    <w:rsid w:val="00990CC8"/>
    <w:rsid w:val="0099227E"/>
    <w:rsid w:val="009949C5"/>
    <w:rsid w:val="009A0949"/>
    <w:rsid w:val="009A19B2"/>
    <w:rsid w:val="009A7860"/>
    <w:rsid w:val="009B3EC0"/>
    <w:rsid w:val="009B5FE8"/>
    <w:rsid w:val="009B62B1"/>
    <w:rsid w:val="009B76C2"/>
    <w:rsid w:val="009B7C57"/>
    <w:rsid w:val="009C080D"/>
    <w:rsid w:val="009C0909"/>
    <w:rsid w:val="009C2D23"/>
    <w:rsid w:val="009C5293"/>
    <w:rsid w:val="009C78B6"/>
    <w:rsid w:val="009C7995"/>
    <w:rsid w:val="009D41DF"/>
    <w:rsid w:val="009D709E"/>
    <w:rsid w:val="009E0249"/>
    <w:rsid w:val="009E055A"/>
    <w:rsid w:val="009E0F0F"/>
    <w:rsid w:val="009E30D9"/>
    <w:rsid w:val="009E36AC"/>
    <w:rsid w:val="009E4FB4"/>
    <w:rsid w:val="009E5694"/>
    <w:rsid w:val="009E585B"/>
    <w:rsid w:val="009E5A28"/>
    <w:rsid w:val="009F040E"/>
    <w:rsid w:val="009F5F80"/>
    <w:rsid w:val="009F6AC4"/>
    <w:rsid w:val="00A01765"/>
    <w:rsid w:val="00A02DD3"/>
    <w:rsid w:val="00A04D6C"/>
    <w:rsid w:val="00A05622"/>
    <w:rsid w:val="00A10491"/>
    <w:rsid w:val="00A1136A"/>
    <w:rsid w:val="00A1327F"/>
    <w:rsid w:val="00A16250"/>
    <w:rsid w:val="00A17296"/>
    <w:rsid w:val="00A17D28"/>
    <w:rsid w:val="00A21621"/>
    <w:rsid w:val="00A22457"/>
    <w:rsid w:val="00A22900"/>
    <w:rsid w:val="00A31E71"/>
    <w:rsid w:val="00A3340E"/>
    <w:rsid w:val="00A4148F"/>
    <w:rsid w:val="00A42248"/>
    <w:rsid w:val="00A426C8"/>
    <w:rsid w:val="00A42ABF"/>
    <w:rsid w:val="00A43139"/>
    <w:rsid w:val="00A4427E"/>
    <w:rsid w:val="00A46733"/>
    <w:rsid w:val="00A46ECF"/>
    <w:rsid w:val="00A477B8"/>
    <w:rsid w:val="00A47AD5"/>
    <w:rsid w:val="00A47F03"/>
    <w:rsid w:val="00A51683"/>
    <w:rsid w:val="00A51892"/>
    <w:rsid w:val="00A52037"/>
    <w:rsid w:val="00A52149"/>
    <w:rsid w:val="00A52DA3"/>
    <w:rsid w:val="00A5654D"/>
    <w:rsid w:val="00A5669C"/>
    <w:rsid w:val="00A5724F"/>
    <w:rsid w:val="00A6261F"/>
    <w:rsid w:val="00A6557E"/>
    <w:rsid w:val="00A662A3"/>
    <w:rsid w:val="00A6697F"/>
    <w:rsid w:val="00A70B39"/>
    <w:rsid w:val="00A71C8A"/>
    <w:rsid w:val="00A71ED6"/>
    <w:rsid w:val="00A745A1"/>
    <w:rsid w:val="00A77AFE"/>
    <w:rsid w:val="00A77E76"/>
    <w:rsid w:val="00A80090"/>
    <w:rsid w:val="00A82275"/>
    <w:rsid w:val="00A85A64"/>
    <w:rsid w:val="00A87FA4"/>
    <w:rsid w:val="00A91D34"/>
    <w:rsid w:val="00A93118"/>
    <w:rsid w:val="00AA3EC5"/>
    <w:rsid w:val="00AA48F5"/>
    <w:rsid w:val="00AA4B39"/>
    <w:rsid w:val="00AA512B"/>
    <w:rsid w:val="00AA608B"/>
    <w:rsid w:val="00AA77C0"/>
    <w:rsid w:val="00AB1CD7"/>
    <w:rsid w:val="00AB1F5C"/>
    <w:rsid w:val="00AB278F"/>
    <w:rsid w:val="00AB4311"/>
    <w:rsid w:val="00AB49DA"/>
    <w:rsid w:val="00AB4C5B"/>
    <w:rsid w:val="00AB59A7"/>
    <w:rsid w:val="00AB68F7"/>
    <w:rsid w:val="00AC077B"/>
    <w:rsid w:val="00AC0C82"/>
    <w:rsid w:val="00AC1F08"/>
    <w:rsid w:val="00AC3299"/>
    <w:rsid w:val="00AC60ED"/>
    <w:rsid w:val="00AC7005"/>
    <w:rsid w:val="00AD2A52"/>
    <w:rsid w:val="00AD529F"/>
    <w:rsid w:val="00AD564C"/>
    <w:rsid w:val="00AD7639"/>
    <w:rsid w:val="00AE3182"/>
    <w:rsid w:val="00AE43A3"/>
    <w:rsid w:val="00AE4C5D"/>
    <w:rsid w:val="00AE649C"/>
    <w:rsid w:val="00AF095A"/>
    <w:rsid w:val="00AF1030"/>
    <w:rsid w:val="00AF1119"/>
    <w:rsid w:val="00AF59C3"/>
    <w:rsid w:val="00AF78FE"/>
    <w:rsid w:val="00B01072"/>
    <w:rsid w:val="00B011BB"/>
    <w:rsid w:val="00B0163B"/>
    <w:rsid w:val="00B04312"/>
    <w:rsid w:val="00B0539A"/>
    <w:rsid w:val="00B056C2"/>
    <w:rsid w:val="00B06669"/>
    <w:rsid w:val="00B06F09"/>
    <w:rsid w:val="00B07DF0"/>
    <w:rsid w:val="00B14782"/>
    <w:rsid w:val="00B14B32"/>
    <w:rsid w:val="00B14BA4"/>
    <w:rsid w:val="00B14C9C"/>
    <w:rsid w:val="00B14E05"/>
    <w:rsid w:val="00B15EA7"/>
    <w:rsid w:val="00B1616E"/>
    <w:rsid w:val="00B162E1"/>
    <w:rsid w:val="00B16405"/>
    <w:rsid w:val="00B17156"/>
    <w:rsid w:val="00B17A29"/>
    <w:rsid w:val="00B17D85"/>
    <w:rsid w:val="00B21525"/>
    <w:rsid w:val="00B217D0"/>
    <w:rsid w:val="00B21966"/>
    <w:rsid w:val="00B2363C"/>
    <w:rsid w:val="00B252F9"/>
    <w:rsid w:val="00B25977"/>
    <w:rsid w:val="00B262B8"/>
    <w:rsid w:val="00B271D8"/>
    <w:rsid w:val="00B2742C"/>
    <w:rsid w:val="00B27C45"/>
    <w:rsid w:val="00B313EB"/>
    <w:rsid w:val="00B3198A"/>
    <w:rsid w:val="00B3219B"/>
    <w:rsid w:val="00B34812"/>
    <w:rsid w:val="00B34BFB"/>
    <w:rsid w:val="00B357AE"/>
    <w:rsid w:val="00B37E57"/>
    <w:rsid w:val="00B42FA5"/>
    <w:rsid w:val="00B43A1A"/>
    <w:rsid w:val="00B514D3"/>
    <w:rsid w:val="00B51BC7"/>
    <w:rsid w:val="00B52134"/>
    <w:rsid w:val="00B56063"/>
    <w:rsid w:val="00B570B0"/>
    <w:rsid w:val="00B57714"/>
    <w:rsid w:val="00B60844"/>
    <w:rsid w:val="00B61620"/>
    <w:rsid w:val="00B64061"/>
    <w:rsid w:val="00B65BB6"/>
    <w:rsid w:val="00B66567"/>
    <w:rsid w:val="00B7048C"/>
    <w:rsid w:val="00B716EC"/>
    <w:rsid w:val="00B7173D"/>
    <w:rsid w:val="00B71D8A"/>
    <w:rsid w:val="00B73F7D"/>
    <w:rsid w:val="00B743B9"/>
    <w:rsid w:val="00B768D7"/>
    <w:rsid w:val="00B7694A"/>
    <w:rsid w:val="00B778A3"/>
    <w:rsid w:val="00B809F3"/>
    <w:rsid w:val="00B82AA2"/>
    <w:rsid w:val="00B85932"/>
    <w:rsid w:val="00B87588"/>
    <w:rsid w:val="00B92474"/>
    <w:rsid w:val="00B9459A"/>
    <w:rsid w:val="00BA2419"/>
    <w:rsid w:val="00BB0A70"/>
    <w:rsid w:val="00BB0F2F"/>
    <w:rsid w:val="00BB1C66"/>
    <w:rsid w:val="00BB1CF2"/>
    <w:rsid w:val="00BB3596"/>
    <w:rsid w:val="00BB524D"/>
    <w:rsid w:val="00BB5385"/>
    <w:rsid w:val="00BB5653"/>
    <w:rsid w:val="00BB6E3C"/>
    <w:rsid w:val="00BB6EC5"/>
    <w:rsid w:val="00BB7F5B"/>
    <w:rsid w:val="00BC06CF"/>
    <w:rsid w:val="00BC133D"/>
    <w:rsid w:val="00BC18E5"/>
    <w:rsid w:val="00BC3E9C"/>
    <w:rsid w:val="00BC4AF5"/>
    <w:rsid w:val="00BC5AA5"/>
    <w:rsid w:val="00BC7CC2"/>
    <w:rsid w:val="00BD049F"/>
    <w:rsid w:val="00BD0E9D"/>
    <w:rsid w:val="00BD144F"/>
    <w:rsid w:val="00BD218A"/>
    <w:rsid w:val="00BD399A"/>
    <w:rsid w:val="00BD557E"/>
    <w:rsid w:val="00BD5B18"/>
    <w:rsid w:val="00BD5F64"/>
    <w:rsid w:val="00BE0201"/>
    <w:rsid w:val="00BE0F85"/>
    <w:rsid w:val="00BE3232"/>
    <w:rsid w:val="00BE520C"/>
    <w:rsid w:val="00BF12A1"/>
    <w:rsid w:val="00BF16AD"/>
    <w:rsid w:val="00BF2C8B"/>
    <w:rsid w:val="00BF34A7"/>
    <w:rsid w:val="00BF3B14"/>
    <w:rsid w:val="00BF57D7"/>
    <w:rsid w:val="00BF6218"/>
    <w:rsid w:val="00BF7213"/>
    <w:rsid w:val="00C00EA2"/>
    <w:rsid w:val="00C011EE"/>
    <w:rsid w:val="00C02535"/>
    <w:rsid w:val="00C0352A"/>
    <w:rsid w:val="00C0425B"/>
    <w:rsid w:val="00C05811"/>
    <w:rsid w:val="00C07BEF"/>
    <w:rsid w:val="00C1015B"/>
    <w:rsid w:val="00C103A1"/>
    <w:rsid w:val="00C10A10"/>
    <w:rsid w:val="00C10D6A"/>
    <w:rsid w:val="00C10EC0"/>
    <w:rsid w:val="00C135D4"/>
    <w:rsid w:val="00C13B9C"/>
    <w:rsid w:val="00C14063"/>
    <w:rsid w:val="00C1431F"/>
    <w:rsid w:val="00C15102"/>
    <w:rsid w:val="00C15A56"/>
    <w:rsid w:val="00C22F0A"/>
    <w:rsid w:val="00C2325B"/>
    <w:rsid w:val="00C25B1C"/>
    <w:rsid w:val="00C26299"/>
    <w:rsid w:val="00C311E4"/>
    <w:rsid w:val="00C322BB"/>
    <w:rsid w:val="00C33540"/>
    <w:rsid w:val="00C350F2"/>
    <w:rsid w:val="00C35B73"/>
    <w:rsid w:val="00C35B8F"/>
    <w:rsid w:val="00C35FBE"/>
    <w:rsid w:val="00C37FA1"/>
    <w:rsid w:val="00C40E59"/>
    <w:rsid w:val="00C418BF"/>
    <w:rsid w:val="00C4258F"/>
    <w:rsid w:val="00C43975"/>
    <w:rsid w:val="00C44562"/>
    <w:rsid w:val="00C453FB"/>
    <w:rsid w:val="00C46D82"/>
    <w:rsid w:val="00C50166"/>
    <w:rsid w:val="00C502FF"/>
    <w:rsid w:val="00C55BED"/>
    <w:rsid w:val="00C55D03"/>
    <w:rsid w:val="00C55F3E"/>
    <w:rsid w:val="00C56948"/>
    <w:rsid w:val="00C57311"/>
    <w:rsid w:val="00C57791"/>
    <w:rsid w:val="00C60006"/>
    <w:rsid w:val="00C6069B"/>
    <w:rsid w:val="00C61929"/>
    <w:rsid w:val="00C62E71"/>
    <w:rsid w:val="00C63059"/>
    <w:rsid w:val="00C631FE"/>
    <w:rsid w:val="00C63C08"/>
    <w:rsid w:val="00C64172"/>
    <w:rsid w:val="00C66CCC"/>
    <w:rsid w:val="00C676A4"/>
    <w:rsid w:val="00C700B6"/>
    <w:rsid w:val="00C7182A"/>
    <w:rsid w:val="00C723C7"/>
    <w:rsid w:val="00C72659"/>
    <w:rsid w:val="00C734AC"/>
    <w:rsid w:val="00C73B9D"/>
    <w:rsid w:val="00C73BD7"/>
    <w:rsid w:val="00C80CAC"/>
    <w:rsid w:val="00C81415"/>
    <w:rsid w:val="00C82139"/>
    <w:rsid w:val="00C84B39"/>
    <w:rsid w:val="00C8516B"/>
    <w:rsid w:val="00C854C1"/>
    <w:rsid w:val="00C85B81"/>
    <w:rsid w:val="00C87360"/>
    <w:rsid w:val="00C87E71"/>
    <w:rsid w:val="00C90818"/>
    <w:rsid w:val="00C91630"/>
    <w:rsid w:val="00C9178F"/>
    <w:rsid w:val="00C93F76"/>
    <w:rsid w:val="00C9655A"/>
    <w:rsid w:val="00C96FCA"/>
    <w:rsid w:val="00C970A1"/>
    <w:rsid w:val="00C9754D"/>
    <w:rsid w:val="00C975DF"/>
    <w:rsid w:val="00CA51D3"/>
    <w:rsid w:val="00CA5D84"/>
    <w:rsid w:val="00CA69D1"/>
    <w:rsid w:val="00CB3AD5"/>
    <w:rsid w:val="00CB73B9"/>
    <w:rsid w:val="00CC1960"/>
    <w:rsid w:val="00CD2EE0"/>
    <w:rsid w:val="00CD31B1"/>
    <w:rsid w:val="00CD6146"/>
    <w:rsid w:val="00CD725A"/>
    <w:rsid w:val="00CE1CF3"/>
    <w:rsid w:val="00CE5A8F"/>
    <w:rsid w:val="00CE70F3"/>
    <w:rsid w:val="00CE7659"/>
    <w:rsid w:val="00CE7AC4"/>
    <w:rsid w:val="00CF0E18"/>
    <w:rsid w:val="00CF29A4"/>
    <w:rsid w:val="00CF2C4C"/>
    <w:rsid w:val="00CF2F2E"/>
    <w:rsid w:val="00CF4D55"/>
    <w:rsid w:val="00CF5FF4"/>
    <w:rsid w:val="00CF624D"/>
    <w:rsid w:val="00CF6E34"/>
    <w:rsid w:val="00D00B3B"/>
    <w:rsid w:val="00D03DD9"/>
    <w:rsid w:val="00D066D9"/>
    <w:rsid w:val="00D076EF"/>
    <w:rsid w:val="00D108C5"/>
    <w:rsid w:val="00D10D7A"/>
    <w:rsid w:val="00D1187F"/>
    <w:rsid w:val="00D11C2D"/>
    <w:rsid w:val="00D12E4F"/>
    <w:rsid w:val="00D1618D"/>
    <w:rsid w:val="00D167B1"/>
    <w:rsid w:val="00D16D1B"/>
    <w:rsid w:val="00D21B66"/>
    <w:rsid w:val="00D21F66"/>
    <w:rsid w:val="00D24B66"/>
    <w:rsid w:val="00D24C22"/>
    <w:rsid w:val="00D31492"/>
    <w:rsid w:val="00D32C70"/>
    <w:rsid w:val="00D3478B"/>
    <w:rsid w:val="00D35E12"/>
    <w:rsid w:val="00D36FFC"/>
    <w:rsid w:val="00D413DD"/>
    <w:rsid w:val="00D4189D"/>
    <w:rsid w:val="00D424E3"/>
    <w:rsid w:val="00D42604"/>
    <w:rsid w:val="00D43436"/>
    <w:rsid w:val="00D4389A"/>
    <w:rsid w:val="00D4436A"/>
    <w:rsid w:val="00D45829"/>
    <w:rsid w:val="00D45DEF"/>
    <w:rsid w:val="00D45FB7"/>
    <w:rsid w:val="00D46347"/>
    <w:rsid w:val="00D46954"/>
    <w:rsid w:val="00D51E72"/>
    <w:rsid w:val="00D52C3F"/>
    <w:rsid w:val="00D534EA"/>
    <w:rsid w:val="00D540A4"/>
    <w:rsid w:val="00D54DBC"/>
    <w:rsid w:val="00D55696"/>
    <w:rsid w:val="00D56A85"/>
    <w:rsid w:val="00D570F3"/>
    <w:rsid w:val="00D61C85"/>
    <w:rsid w:val="00D624E5"/>
    <w:rsid w:val="00D634A8"/>
    <w:rsid w:val="00D645FB"/>
    <w:rsid w:val="00D64C3D"/>
    <w:rsid w:val="00D65A1C"/>
    <w:rsid w:val="00D67099"/>
    <w:rsid w:val="00D71939"/>
    <w:rsid w:val="00D72D27"/>
    <w:rsid w:val="00D72ED5"/>
    <w:rsid w:val="00D73317"/>
    <w:rsid w:val="00D743C8"/>
    <w:rsid w:val="00D743DA"/>
    <w:rsid w:val="00D744B5"/>
    <w:rsid w:val="00D745B1"/>
    <w:rsid w:val="00D74C5F"/>
    <w:rsid w:val="00D753F3"/>
    <w:rsid w:val="00D81AFA"/>
    <w:rsid w:val="00D862F0"/>
    <w:rsid w:val="00D87832"/>
    <w:rsid w:val="00D901D4"/>
    <w:rsid w:val="00D9045B"/>
    <w:rsid w:val="00D90EA9"/>
    <w:rsid w:val="00D9191F"/>
    <w:rsid w:val="00D941C3"/>
    <w:rsid w:val="00D947D6"/>
    <w:rsid w:val="00D94A99"/>
    <w:rsid w:val="00D95324"/>
    <w:rsid w:val="00D95482"/>
    <w:rsid w:val="00DA0390"/>
    <w:rsid w:val="00DA1940"/>
    <w:rsid w:val="00DA1FBA"/>
    <w:rsid w:val="00DA3C3C"/>
    <w:rsid w:val="00DA7C54"/>
    <w:rsid w:val="00DB05EC"/>
    <w:rsid w:val="00DB13DC"/>
    <w:rsid w:val="00DB166E"/>
    <w:rsid w:val="00DB245E"/>
    <w:rsid w:val="00DB288E"/>
    <w:rsid w:val="00DB3C40"/>
    <w:rsid w:val="00DB3D8C"/>
    <w:rsid w:val="00DB43B8"/>
    <w:rsid w:val="00DB7BD1"/>
    <w:rsid w:val="00DB7C8A"/>
    <w:rsid w:val="00DB7EBF"/>
    <w:rsid w:val="00DC0005"/>
    <w:rsid w:val="00DC2DC5"/>
    <w:rsid w:val="00DC3204"/>
    <w:rsid w:val="00DC341B"/>
    <w:rsid w:val="00DC4F01"/>
    <w:rsid w:val="00DD35E7"/>
    <w:rsid w:val="00DD5486"/>
    <w:rsid w:val="00DD650E"/>
    <w:rsid w:val="00DD7757"/>
    <w:rsid w:val="00DD7968"/>
    <w:rsid w:val="00DE0737"/>
    <w:rsid w:val="00DE0B7E"/>
    <w:rsid w:val="00DE1418"/>
    <w:rsid w:val="00DE1AB7"/>
    <w:rsid w:val="00DE2205"/>
    <w:rsid w:val="00DE421E"/>
    <w:rsid w:val="00DE5454"/>
    <w:rsid w:val="00DE6A8B"/>
    <w:rsid w:val="00DE7F41"/>
    <w:rsid w:val="00DF0F50"/>
    <w:rsid w:val="00DF1650"/>
    <w:rsid w:val="00DF2309"/>
    <w:rsid w:val="00DF2524"/>
    <w:rsid w:val="00DF28DC"/>
    <w:rsid w:val="00DF3915"/>
    <w:rsid w:val="00DF44AC"/>
    <w:rsid w:val="00DF4CE2"/>
    <w:rsid w:val="00DF7B6E"/>
    <w:rsid w:val="00E0168F"/>
    <w:rsid w:val="00E035F2"/>
    <w:rsid w:val="00E06EB8"/>
    <w:rsid w:val="00E07BC9"/>
    <w:rsid w:val="00E103DD"/>
    <w:rsid w:val="00E12071"/>
    <w:rsid w:val="00E12660"/>
    <w:rsid w:val="00E12838"/>
    <w:rsid w:val="00E147D3"/>
    <w:rsid w:val="00E15BBF"/>
    <w:rsid w:val="00E15ECD"/>
    <w:rsid w:val="00E2203B"/>
    <w:rsid w:val="00E23F00"/>
    <w:rsid w:val="00E2599A"/>
    <w:rsid w:val="00E2672D"/>
    <w:rsid w:val="00E26A0F"/>
    <w:rsid w:val="00E30712"/>
    <w:rsid w:val="00E30F48"/>
    <w:rsid w:val="00E318D4"/>
    <w:rsid w:val="00E339EE"/>
    <w:rsid w:val="00E3557A"/>
    <w:rsid w:val="00E4014C"/>
    <w:rsid w:val="00E401FC"/>
    <w:rsid w:val="00E41274"/>
    <w:rsid w:val="00E41F32"/>
    <w:rsid w:val="00E42D1B"/>
    <w:rsid w:val="00E46C0B"/>
    <w:rsid w:val="00E46FAB"/>
    <w:rsid w:val="00E474DC"/>
    <w:rsid w:val="00E5155C"/>
    <w:rsid w:val="00E55EA9"/>
    <w:rsid w:val="00E56307"/>
    <w:rsid w:val="00E56D55"/>
    <w:rsid w:val="00E56F52"/>
    <w:rsid w:val="00E5723C"/>
    <w:rsid w:val="00E57F76"/>
    <w:rsid w:val="00E60696"/>
    <w:rsid w:val="00E62028"/>
    <w:rsid w:val="00E6393C"/>
    <w:rsid w:val="00E67E51"/>
    <w:rsid w:val="00E76BE0"/>
    <w:rsid w:val="00E7790B"/>
    <w:rsid w:val="00E814E4"/>
    <w:rsid w:val="00E81714"/>
    <w:rsid w:val="00E864B5"/>
    <w:rsid w:val="00E91546"/>
    <w:rsid w:val="00E91678"/>
    <w:rsid w:val="00E9206E"/>
    <w:rsid w:val="00E93438"/>
    <w:rsid w:val="00E934CB"/>
    <w:rsid w:val="00E93F64"/>
    <w:rsid w:val="00E96737"/>
    <w:rsid w:val="00EA0008"/>
    <w:rsid w:val="00EA0668"/>
    <w:rsid w:val="00EA127F"/>
    <w:rsid w:val="00EA1F53"/>
    <w:rsid w:val="00EA4376"/>
    <w:rsid w:val="00EA56F5"/>
    <w:rsid w:val="00EA70DC"/>
    <w:rsid w:val="00EB01FF"/>
    <w:rsid w:val="00EB06C6"/>
    <w:rsid w:val="00EB1B47"/>
    <w:rsid w:val="00EB46E1"/>
    <w:rsid w:val="00EB7BD6"/>
    <w:rsid w:val="00EC1609"/>
    <w:rsid w:val="00EC20FD"/>
    <w:rsid w:val="00EC2EF8"/>
    <w:rsid w:val="00EC3DAC"/>
    <w:rsid w:val="00EC42FF"/>
    <w:rsid w:val="00EC4A38"/>
    <w:rsid w:val="00EC53A0"/>
    <w:rsid w:val="00EC5A73"/>
    <w:rsid w:val="00EC5B4F"/>
    <w:rsid w:val="00EC6734"/>
    <w:rsid w:val="00ED2C11"/>
    <w:rsid w:val="00ED3B7C"/>
    <w:rsid w:val="00ED3D0C"/>
    <w:rsid w:val="00ED4AEF"/>
    <w:rsid w:val="00ED570E"/>
    <w:rsid w:val="00ED5CFE"/>
    <w:rsid w:val="00ED63D2"/>
    <w:rsid w:val="00ED7B4B"/>
    <w:rsid w:val="00EE005A"/>
    <w:rsid w:val="00EE05CF"/>
    <w:rsid w:val="00EE0E43"/>
    <w:rsid w:val="00EE10AE"/>
    <w:rsid w:val="00EE2DA2"/>
    <w:rsid w:val="00EE4290"/>
    <w:rsid w:val="00EE4EE8"/>
    <w:rsid w:val="00EE589E"/>
    <w:rsid w:val="00EE76D0"/>
    <w:rsid w:val="00EE7C89"/>
    <w:rsid w:val="00EF1185"/>
    <w:rsid w:val="00EF1E75"/>
    <w:rsid w:val="00EF6CCD"/>
    <w:rsid w:val="00EF754D"/>
    <w:rsid w:val="00F0061A"/>
    <w:rsid w:val="00F027E9"/>
    <w:rsid w:val="00F0775E"/>
    <w:rsid w:val="00F107C7"/>
    <w:rsid w:val="00F15F69"/>
    <w:rsid w:val="00F1612D"/>
    <w:rsid w:val="00F16D8C"/>
    <w:rsid w:val="00F17069"/>
    <w:rsid w:val="00F173DD"/>
    <w:rsid w:val="00F21119"/>
    <w:rsid w:val="00F23729"/>
    <w:rsid w:val="00F25164"/>
    <w:rsid w:val="00F277D3"/>
    <w:rsid w:val="00F30997"/>
    <w:rsid w:val="00F32896"/>
    <w:rsid w:val="00F33C08"/>
    <w:rsid w:val="00F34F80"/>
    <w:rsid w:val="00F41AE7"/>
    <w:rsid w:val="00F41F44"/>
    <w:rsid w:val="00F42D17"/>
    <w:rsid w:val="00F42D5D"/>
    <w:rsid w:val="00F448B1"/>
    <w:rsid w:val="00F457A0"/>
    <w:rsid w:val="00F46492"/>
    <w:rsid w:val="00F477B5"/>
    <w:rsid w:val="00F47B01"/>
    <w:rsid w:val="00F5057E"/>
    <w:rsid w:val="00F53410"/>
    <w:rsid w:val="00F541F8"/>
    <w:rsid w:val="00F5470A"/>
    <w:rsid w:val="00F551E6"/>
    <w:rsid w:val="00F5544B"/>
    <w:rsid w:val="00F5563D"/>
    <w:rsid w:val="00F56891"/>
    <w:rsid w:val="00F6456C"/>
    <w:rsid w:val="00F64CD4"/>
    <w:rsid w:val="00F65AB2"/>
    <w:rsid w:val="00F73238"/>
    <w:rsid w:val="00F73E78"/>
    <w:rsid w:val="00F740C2"/>
    <w:rsid w:val="00F7591E"/>
    <w:rsid w:val="00F75EF9"/>
    <w:rsid w:val="00F77A9B"/>
    <w:rsid w:val="00F80366"/>
    <w:rsid w:val="00F812FC"/>
    <w:rsid w:val="00F823B0"/>
    <w:rsid w:val="00F83035"/>
    <w:rsid w:val="00F866B0"/>
    <w:rsid w:val="00F869EF"/>
    <w:rsid w:val="00F86BE4"/>
    <w:rsid w:val="00F86C7B"/>
    <w:rsid w:val="00F86D61"/>
    <w:rsid w:val="00F905B6"/>
    <w:rsid w:val="00F90A98"/>
    <w:rsid w:val="00F90B31"/>
    <w:rsid w:val="00F914B2"/>
    <w:rsid w:val="00F92294"/>
    <w:rsid w:val="00F926B9"/>
    <w:rsid w:val="00F9541D"/>
    <w:rsid w:val="00F95AA0"/>
    <w:rsid w:val="00F97FAE"/>
    <w:rsid w:val="00FA0403"/>
    <w:rsid w:val="00FA38EB"/>
    <w:rsid w:val="00FA4F59"/>
    <w:rsid w:val="00FA597D"/>
    <w:rsid w:val="00FA5B9A"/>
    <w:rsid w:val="00FB01B9"/>
    <w:rsid w:val="00FB1898"/>
    <w:rsid w:val="00FB763A"/>
    <w:rsid w:val="00FB79C0"/>
    <w:rsid w:val="00FC2EB8"/>
    <w:rsid w:val="00FC5C43"/>
    <w:rsid w:val="00FC7FA4"/>
    <w:rsid w:val="00FD1598"/>
    <w:rsid w:val="00FD576E"/>
    <w:rsid w:val="00FD596B"/>
    <w:rsid w:val="00FD77E5"/>
    <w:rsid w:val="00FE0D94"/>
    <w:rsid w:val="00FE58CC"/>
    <w:rsid w:val="00FE658B"/>
    <w:rsid w:val="00FE75A9"/>
    <w:rsid w:val="00FF058D"/>
    <w:rsid w:val="00FF1D8E"/>
    <w:rsid w:val="00FF2440"/>
    <w:rsid w:val="00FF322C"/>
    <w:rsid w:val="00FF3FFC"/>
    <w:rsid w:val="00FF4567"/>
    <w:rsid w:val="00FF7745"/>
    <w:rsid w:val="00FF7BCB"/>
    <w:rsid w:val="00FF7C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1A34C3"/>
  <w15:docId w15:val="{3D42FC12-3A14-479A-81C0-DDA2CEC1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LIST LAMPIRAN,kepala,Body Text Char1,Char Char2,Body of text,List Paragraph1,Body of text+1,Body of text+2,Body of text+3,List Paragraph11,Medium Grid 1 - Accent 21,Colorful List - Accent 11,Normal1,Normal11,Paragraph,Normal2,Normal3"/>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DocumentMap">
    <w:name w:val="Document Map"/>
    <w:basedOn w:val="Normal"/>
    <w:link w:val="DocumentMapChar"/>
    <w:uiPriority w:val="99"/>
    <w:semiHidden/>
    <w:unhideWhenUsed/>
    <w:rsid w:val="007C7016"/>
    <w:rPr>
      <w:rFonts w:ascii="Tahoma" w:hAnsi="Tahoma" w:cs="Tahoma"/>
      <w:sz w:val="16"/>
      <w:szCs w:val="16"/>
    </w:rPr>
  </w:style>
  <w:style w:type="character" w:customStyle="1" w:styleId="DocumentMapChar">
    <w:name w:val="Document Map Char"/>
    <w:basedOn w:val="DefaultParagraphFont"/>
    <w:link w:val="DocumentMap"/>
    <w:uiPriority w:val="99"/>
    <w:semiHidden/>
    <w:rsid w:val="007C7016"/>
    <w:rPr>
      <w:rFonts w:ascii="Tahoma" w:hAnsi="Tahoma" w:cs="Tahoma"/>
      <w:sz w:val="16"/>
      <w:szCs w:val="16"/>
    </w:rPr>
  </w:style>
  <w:style w:type="paragraph" w:styleId="EndnoteText">
    <w:name w:val="endnote text"/>
    <w:basedOn w:val="Normal"/>
    <w:link w:val="EndnoteTextChar"/>
    <w:uiPriority w:val="99"/>
    <w:semiHidden/>
    <w:unhideWhenUsed/>
    <w:rsid w:val="00B716EC"/>
  </w:style>
  <w:style w:type="character" w:customStyle="1" w:styleId="EndnoteTextChar">
    <w:name w:val="Endnote Text Char"/>
    <w:basedOn w:val="DefaultParagraphFont"/>
    <w:link w:val="EndnoteText"/>
    <w:uiPriority w:val="99"/>
    <w:semiHidden/>
    <w:rsid w:val="00B716EC"/>
  </w:style>
  <w:style w:type="character" w:styleId="EndnoteReference">
    <w:name w:val="endnote reference"/>
    <w:basedOn w:val="DefaultParagraphFont"/>
    <w:uiPriority w:val="99"/>
    <w:semiHidden/>
    <w:unhideWhenUsed/>
    <w:rsid w:val="00B716EC"/>
    <w:rPr>
      <w:vertAlign w:val="superscript"/>
    </w:rPr>
  </w:style>
  <w:style w:type="character" w:customStyle="1" w:styleId="FooterChar">
    <w:name w:val="Footer Char"/>
    <w:basedOn w:val="DefaultParagraphFont"/>
    <w:link w:val="Footer"/>
    <w:uiPriority w:val="99"/>
    <w:rsid w:val="00FF3FFC"/>
  </w:style>
  <w:style w:type="character" w:styleId="CommentReference">
    <w:name w:val="annotation reference"/>
    <w:basedOn w:val="DefaultParagraphFont"/>
    <w:uiPriority w:val="99"/>
    <w:semiHidden/>
    <w:unhideWhenUsed/>
    <w:rsid w:val="00D862F0"/>
    <w:rPr>
      <w:sz w:val="16"/>
      <w:szCs w:val="16"/>
    </w:rPr>
  </w:style>
  <w:style w:type="paragraph" w:styleId="CommentText">
    <w:name w:val="annotation text"/>
    <w:basedOn w:val="Normal"/>
    <w:link w:val="CommentTextChar"/>
    <w:uiPriority w:val="99"/>
    <w:unhideWhenUsed/>
    <w:rsid w:val="00D862F0"/>
  </w:style>
  <w:style w:type="character" w:customStyle="1" w:styleId="CommentTextChar">
    <w:name w:val="Comment Text Char"/>
    <w:basedOn w:val="DefaultParagraphFont"/>
    <w:link w:val="CommentText"/>
    <w:uiPriority w:val="99"/>
    <w:rsid w:val="00D862F0"/>
  </w:style>
  <w:style w:type="character" w:customStyle="1" w:styleId="FootnoteTextChar">
    <w:name w:val="Footnote Text Char"/>
    <w:basedOn w:val="DefaultParagraphFont"/>
    <w:link w:val="FootnoteText"/>
    <w:semiHidden/>
    <w:rsid w:val="00006142"/>
    <w:rPr>
      <w:rFonts w:cs="Traditional Arabic"/>
      <w:lang w:eastAsia="ko-KR"/>
    </w:rPr>
  </w:style>
  <w:style w:type="paragraph" w:customStyle="1" w:styleId="TitleColumnHeading">
    <w:name w:val="Title Column Heading"/>
    <w:basedOn w:val="Normal"/>
    <w:rsid w:val="00425F0C"/>
    <w:pPr>
      <w:tabs>
        <w:tab w:val="right" w:pos="8640"/>
      </w:tabs>
      <w:spacing w:line="480" w:lineRule="auto"/>
      <w:jc w:val="center"/>
    </w:pPr>
    <w:rPr>
      <w:sz w:val="24"/>
    </w:rPr>
  </w:style>
  <w:style w:type="paragraph" w:customStyle="1" w:styleId="TableBody">
    <w:name w:val="Table Body"/>
    <w:basedOn w:val="Normal"/>
    <w:rsid w:val="00425F0C"/>
    <w:pPr>
      <w:tabs>
        <w:tab w:val="right" w:pos="8640"/>
      </w:tabs>
      <w:spacing w:line="480" w:lineRule="auto"/>
      <w:jc w:val="center"/>
    </w:pPr>
    <w:rPr>
      <w:color w:val="000000"/>
      <w:sz w:val="24"/>
      <w:szCs w:val="24"/>
    </w:rPr>
  </w:style>
  <w:style w:type="character" w:customStyle="1" w:styleId="FigureCaptionLabelChar">
    <w:name w:val="Figure Caption Label Char"/>
    <w:rsid w:val="00425F0C"/>
    <w:rPr>
      <w:rFonts w:ascii="Garamond" w:hAnsi="Garamond"/>
      <w:i/>
      <w:sz w:val="24"/>
      <w:szCs w:val="24"/>
      <w:lang w:val="en-US" w:eastAsia="en-US" w:bidi="ar-SA"/>
    </w:rPr>
  </w:style>
  <w:style w:type="character" w:customStyle="1" w:styleId="EndNoteBibliographyChar">
    <w:name w:val="EndNote Bibliography Char"/>
    <w:basedOn w:val="DefaultParagraphFont"/>
    <w:link w:val="EndNoteBibliography"/>
    <w:locked/>
    <w:rsid w:val="00AC3299"/>
    <w:rPr>
      <w:noProof/>
      <w:sz w:val="24"/>
    </w:rPr>
  </w:style>
  <w:style w:type="paragraph" w:customStyle="1" w:styleId="EndNoteBibliography">
    <w:name w:val="EndNote Bibliography"/>
    <w:basedOn w:val="Normal"/>
    <w:link w:val="EndNoteBibliographyChar"/>
    <w:rsid w:val="00AC3299"/>
    <w:pPr>
      <w:spacing w:after="160"/>
      <w:jc w:val="both"/>
    </w:pPr>
    <w:rPr>
      <w:noProof/>
      <w:sz w:val="24"/>
    </w:rPr>
  </w:style>
  <w:style w:type="paragraph" w:styleId="z-TopofForm">
    <w:name w:val="HTML Top of Form"/>
    <w:basedOn w:val="Normal"/>
    <w:next w:val="Normal"/>
    <w:link w:val="z-TopofFormChar"/>
    <w:hidden/>
    <w:uiPriority w:val="99"/>
    <w:semiHidden/>
    <w:unhideWhenUsed/>
    <w:rsid w:val="00397AC9"/>
    <w:pPr>
      <w:pBdr>
        <w:bottom w:val="single" w:sz="6" w:space="1" w:color="auto"/>
      </w:pBdr>
      <w:jc w:val="center"/>
    </w:pPr>
    <w:rPr>
      <w:rFonts w:ascii="Arial"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397AC9"/>
    <w:rPr>
      <w:rFonts w:ascii="Arial" w:hAnsi="Arial" w:cs="Arial"/>
      <w:vanish/>
      <w:sz w:val="16"/>
      <w:szCs w:val="16"/>
      <w:lang w:val="en-ID" w:eastAsia="en-ID"/>
    </w:rPr>
  </w:style>
  <w:style w:type="character" w:customStyle="1" w:styleId="HTMLPreformattedChar">
    <w:name w:val="HTML Preformatted Char"/>
    <w:basedOn w:val="DefaultParagraphFont"/>
    <w:link w:val="HTMLPreformatted"/>
    <w:uiPriority w:val="99"/>
    <w:rsid w:val="00FB1898"/>
    <w:rPr>
      <w:rFonts w:ascii="Courier New" w:hAnsi="Courier New" w:cs="Courier New"/>
    </w:rPr>
  </w:style>
  <w:style w:type="character" w:styleId="UnresolvedMention">
    <w:name w:val="Unresolved Mention"/>
    <w:basedOn w:val="DefaultParagraphFont"/>
    <w:uiPriority w:val="99"/>
    <w:semiHidden/>
    <w:unhideWhenUsed/>
    <w:rsid w:val="00895A6E"/>
    <w:rPr>
      <w:color w:val="605E5C"/>
      <w:shd w:val="clear" w:color="auto" w:fill="E1DFDD"/>
    </w:rPr>
  </w:style>
  <w:style w:type="character" w:customStyle="1" w:styleId="ListParagraphChar">
    <w:name w:val="List Paragraph Char"/>
    <w:aliases w:val="LIST LAMPIRAN Char,kepala Char,Body Text Char1 Char,Char Char2 Char,Body of text Char,List Paragraph1 Char,Body of text+1 Char,Body of text+2 Char,Body of text+3 Char,List Paragraph11 Char,Medium Grid 1 - Accent 21 Char,Normal1 Char"/>
    <w:link w:val="ListParagraph"/>
    <w:uiPriority w:val="34"/>
    <w:qFormat/>
    <w:rsid w:val="00EE0E43"/>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565017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86676185">
      <w:bodyDiv w:val="1"/>
      <w:marLeft w:val="0"/>
      <w:marRight w:val="0"/>
      <w:marTop w:val="0"/>
      <w:marBottom w:val="0"/>
      <w:divBdr>
        <w:top w:val="none" w:sz="0" w:space="0" w:color="auto"/>
        <w:left w:val="none" w:sz="0" w:space="0" w:color="auto"/>
        <w:bottom w:val="none" w:sz="0" w:space="0" w:color="auto"/>
        <w:right w:val="none" w:sz="0" w:space="0" w:color="auto"/>
      </w:divBdr>
    </w:div>
    <w:div w:id="1354258382">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8874708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73823561">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nd/4.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5F55D-6A74-4D3F-B9AD-CE1926D2D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6</Pages>
  <Words>10549</Words>
  <Characters>60977</Characters>
  <Application>Microsoft Office Word</Application>
  <DocSecurity>0</DocSecurity>
  <Lines>923</Lines>
  <Paragraphs>254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71272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Yorman DG</cp:lastModifiedBy>
  <cp:revision>39</cp:revision>
  <cp:lastPrinted>2004-12-30T03:27:00Z</cp:lastPrinted>
  <dcterms:created xsi:type="dcterms:W3CDTF">2024-04-30T15:15:00Z</dcterms:created>
  <dcterms:modified xsi:type="dcterms:W3CDTF">2025-09-11T09:11:00Z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2b32c8ba-bc41-4add-9a70-fcbcbb652586</vt:lpwstr>
  </property>
</Properties>
</file>