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C78B6" w:rsidRPr="006212FA" w14:paraId="4F56E37E" w14:textId="77777777" w:rsidTr="001669CC">
        <w:trPr>
          <w:trHeight w:val="1584"/>
        </w:trPr>
        <w:tc>
          <w:tcPr>
            <w:tcW w:w="9356" w:type="dxa"/>
          </w:tcPr>
          <w:p w14:paraId="72CC6076" w14:textId="77777777" w:rsidR="00006142" w:rsidRPr="006212FA" w:rsidRDefault="00006142" w:rsidP="002E32D4">
            <w:pPr>
              <w:autoSpaceDE w:val="0"/>
              <w:autoSpaceDN w:val="0"/>
              <w:adjustRightInd w:val="0"/>
              <w:ind w:left="-108" w:right="-91"/>
              <w:jc w:val="center"/>
              <w:rPr>
                <w:rFonts w:asciiTheme="majorHAnsi" w:hAnsiTheme="majorHAnsi" w:cs="Courier New"/>
                <w:b/>
                <w:sz w:val="10"/>
                <w:szCs w:val="10"/>
              </w:rPr>
            </w:pPr>
          </w:p>
          <w:p w14:paraId="1CCC3DBC" w14:textId="3AEEFEB1" w:rsidR="00B7173D" w:rsidRPr="004B15EE" w:rsidRDefault="004B15EE" w:rsidP="004B15EE">
            <w:pPr>
              <w:jc w:val="center"/>
              <w:rPr>
                <w:rFonts w:ascii="Cambria" w:hAnsi="Cambria"/>
                <w:b/>
                <w:bCs/>
                <w:sz w:val="32"/>
                <w:szCs w:val="32"/>
              </w:rPr>
            </w:pPr>
            <w:r w:rsidRPr="004B15EE">
              <w:rPr>
                <w:rFonts w:ascii="Cambria" w:hAnsi="Cambria"/>
                <w:b/>
                <w:bCs/>
                <w:sz w:val="32"/>
                <w:szCs w:val="32"/>
              </w:rPr>
              <w:t>The Jurisdiction of the Corruption Eradication Commission and Military Police in Addressing Corruption in Military Procurement</w:t>
            </w:r>
          </w:p>
          <w:p w14:paraId="29107114" w14:textId="77777777" w:rsidR="00891C38" w:rsidRPr="00C03343" w:rsidRDefault="00891C38" w:rsidP="00B7173D">
            <w:pPr>
              <w:outlineLvl w:val="0"/>
              <w:rPr>
                <w:bCs/>
                <w:sz w:val="24"/>
                <w:szCs w:val="24"/>
              </w:rPr>
            </w:pPr>
          </w:p>
          <w:p w14:paraId="76CEE6A0" w14:textId="2642E800" w:rsidR="00891C38" w:rsidRPr="004B15EE" w:rsidRDefault="004B15EE" w:rsidP="00B7173D">
            <w:pPr>
              <w:ind w:left="210" w:right="-108" w:hanging="142"/>
              <w:jc w:val="center"/>
              <w:outlineLvl w:val="0"/>
              <w:rPr>
                <w:bCs/>
                <w:sz w:val="24"/>
                <w:szCs w:val="24"/>
              </w:rPr>
            </w:pPr>
            <w:r w:rsidRPr="004B15EE">
              <w:rPr>
                <w:rFonts w:asciiTheme="majorHAnsi" w:hAnsiTheme="majorHAnsi"/>
                <w:b/>
                <w:sz w:val="24"/>
                <w:szCs w:val="24"/>
              </w:rPr>
              <w:t>Zainudin Syah Pahlavi</w:t>
            </w:r>
            <w:r w:rsidR="00C84B39" w:rsidRPr="00CA69D1">
              <w:rPr>
                <w:rFonts w:asciiTheme="majorHAnsi" w:eastAsia="Cambria" w:hAnsiTheme="majorHAnsi" w:cs="Cambria"/>
                <w:b/>
                <w:color w:val="FFC000"/>
                <w:sz w:val="24"/>
                <w:szCs w:val="24"/>
                <w:vertAlign w:val="superscript"/>
              </w:rPr>
              <w:footnoteReference w:id="1"/>
            </w:r>
            <w:r w:rsidR="00CA69D1">
              <w:rPr>
                <w:rFonts w:ascii="Cambria" w:eastAsia="Cambria" w:hAnsi="Cambria" w:cs="Cambria"/>
                <w:b/>
                <w:sz w:val="24"/>
                <w:szCs w:val="24"/>
              </w:rPr>
              <w:t>*</w:t>
            </w:r>
            <w:r w:rsidR="00C84B39" w:rsidRPr="00CA69D1">
              <w:rPr>
                <w:rFonts w:asciiTheme="majorHAnsi" w:eastAsia="Cambria" w:hAnsiTheme="majorHAnsi" w:cs="Cambria"/>
                <w:sz w:val="24"/>
                <w:szCs w:val="24"/>
              </w:rPr>
              <w:t xml:space="preserve">, </w:t>
            </w:r>
            <w:r w:rsidRPr="004B15EE">
              <w:rPr>
                <w:rFonts w:asciiTheme="majorHAnsi" w:hAnsiTheme="majorHAnsi"/>
                <w:b/>
                <w:bCs/>
                <w:sz w:val="24"/>
                <w:szCs w:val="24"/>
              </w:rPr>
              <w:t>Erny Herlin Setyorini</w:t>
            </w:r>
            <w:r w:rsidR="00C84B39" w:rsidRPr="004B15EE">
              <w:rPr>
                <w:rFonts w:asciiTheme="majorHAnsi" w:eastAsia="Cambria" w:hAnsiTheme="majorHAnsi" w:cs="Cambria"/>
                <w:b/>
                <w:color w:val="FFC000"/>
                <w:sz w:val="24"/>
                <w:szCs w:val="24"/>
                <w:vertAlign w:val="superscript"/>
              </w:rPr>
              <w:footnoteReference w:id="2"/>
            </w:r>
          </w:p>
          <w:p w14:paraId="173B0C63" w14:textId="53FF99B1" w:rsidR="00895A6E" w:rsidRPr="00895A6E" w:rsidRDefault="00666386" w:rsidP="00895A6E">
            <w:pPr>
              <w:spacing w:before="120" w:after="120"/>
              <w:ind w:right="-108"/>
              <w:jc w:val="center"/>
              <w:rPr>
                <w:rFonts w:asciiTheme="majorHAnsi" w:hAnsiTheme="majorHAnsi" w:cs="Noto Sans"/>
                <w:i/>
                <w:iCs/>
                <w:shd w:val="clear" w:color="auto" w:fill="FFFFFF"/>
              </w:rPr>
            </w:pPr>
            <w:r w:rsidRPr="00666386">
              <w:rPr>
                <w:rFonts w:asciiTheme="majorHAnsi" w:hAnsiTheme="majorHAnsi"/>
                <w:i/>
              </w:rPr>
              <w:t>*Corresponding author email:</w:t>
            </w:r>
            <w:r>
              <w:rPr>
                <w:rFonts w:asciiTheme="majorHAnsi" w:hAnsiTheme="majorHAnsi"/>
                <w:i/>
              </w:rPr>
              <w:t xml:space="preserve"> </w:t>
            </w:r>
            <w:r w:rsidR="003C1009">
              <w:rPr>
                <w:rFonts w:asciiTheme="majorHAnsi" w:hAnsiTheme="majorHAnsi" w:cs="Noto Sans"/>
                <w:i/>
                <w:iCs/>
                <w:shd w:val="clear" w:color="auto" w:fill="FFFFFF"/>
              </w:rPr>
              <w:t>zainudinsp</w:t>
            </w:r>
            <w:r w:rsidR="009F6AC4" w:rsidRPr="009F6AC4">
              <w:rPr>
                <w:rFonts w:asciiTheme="majorHAnsi" w:hAnsiTheme="majorHAnsi" w:cs="Noto Sans"/>
                <w:i/>
                <w:iCs/>
                <w:shd w:val="clear" w:color="auto" w:fill="FFFFFF"/>
              </w:rPr>
              <w:t>@gmail.com</w:t>
            </w:r>
          </w:p>
        </w:tc>
      </w:tr>
    </w:tbl>
    <w:p w14:paraId="53623516" w14:textId="77777777" w:rsidR="00CD31B1" w:rsidRPr="006212FA" w:rsidRDefault="00CD31B1" w:rsidP="002E32D4">
      <w:pPr>
        <w:ind w:left="-108" w:right="-91"/>
        <w:rPr>
          <w:rFonts w:asciiTheme="majorHAnsi" w:hAnsiTheme="majorHAnsi"/>
          <w:sz w:val="4"/>
          <w:szCs w:val="4"/>
        </w:rPr>
      </w:pPr>
    </w:p>
    <w:tbl>
      <w:tblPr>
        <w:tblStyle w:val="TableGrid"/>
        <w:tblW w:w="9356" w:type="dxa"/>
        <w:tblLook w:val="04A0" w:firstRow="1" w:lastRow="0" w:firstColumn="1" w:lastColumn="0" w:noHBand="0" w:noVBand="1"/>
      </w:tblPr>
      <w:tblGrid>
        <w:gridCol w:w="2246"/>
        <w:gridCol w:w="280"/>
        <w:gridCol w:w="6830"/>
      </w:tblGrid>
      <w:tr w:rsidR="009C78B6" w:rsidRPr="006212FA" w14:paraId="6ABE4ECA" w14:textId="77777777" w:rsidTr="001669CC">
        <w:trPr>
          <w:trHeight w:val="323"/>
        </w:trPr>
        <w:tc>
          <w:tcPr>
            <w:tcW w:w="2246" w:type="dxa"/>
            <w:tcBorders>
              <w:top w:val="double" w:sz="4" w:space="0" w:color="auto"/>
              <w:left w:val="nil"/>
              <w:bottom w:val="single" w:sz="4" w:space="0" w:color="auto"/>
              <w:right w:val="nil"/>
            </w:tcBorders>
          </w:tcPr>
          <w:p w14:paraId="799B5E70" w14:textId="77777777" w:rsidR="00CD31B1" w:rsidRPr="006212FA" w:rsidRDefault="001D4B4F" w:rsidP="001D4B4F">
            <w:pPr>
              <w:spacing w:before="120" w:after="120"/>
              <w:ind w:left="-108"/>
              <w:rPr>
                <w:rFonts w:asciiTheme="majorHAnsi" w:hAnsiTheme="majorHAnsi"/>
                <w:b/>
              </w:rPr>
            </w:pPr>
            <w:r>
              <w:rPr>
                <w:rFonts w:asciiTheme="majorHAnsi" w:hAnsiTheme="majorHAnsi"/>
                <w:b/>
                <w:i/>
                <w:sz w:val="19"/>
                <w:szCs w:val="19"/>
              </w:rPr>
              <w:t>Article History</w:t>
            </w:r>
          </w:p>
        </w:tc>
        <w:tc>
          <w:tcPr>
            <w:tcW w:w="280" w:type="dxa"/>
            <w:tcBorders>
              <w:top w:val="double" w:sz="4" w:space="0" w:color="auto"/>
              <w:left w:val="nil"/>
              <w:bottom w:val="nil"/>
              <w:right w:val="nil"/>
            </w:tcBorders>
          </w:tcPr>
          <w:p w14:paraId="5882D989" w14:textId="77777777" w:rsidR="00CD31B1" w:rsidRPr="006212FA" w:rsidRDefault="00CD31B1" w:rsidP="00343597">
            <w:pPr>
              <w:spacing w:before="120"/>
              <w:jc w:val="center"/>
              <w:rPr>
                <w:rFonts w:asciiTheme="majorHAnsi" w:hAnsiTheme="majorHAnsi"/>
              </w:rPr>
            </w:pPr>
          </w:p>
        </w:tc>
        <w:tc>
          <w:tcPr>
            <w:tcW w:w="6830" w:type="dxa"/>
            <w:tcBorders>
              <w:top w:val="double" w:sz="4" w:space="0" w:color="auto"/>
              <w:left w:val="nil"/>
              <w:bottom w:val="single" w:sz="4" w:space="0" w:color="auto"/>
              <w:right w:val="nil"/>
            </w:tcBorders>
          </w:tcPr>
          <w:p w14:paraId="2EE03782" w14:textId="77777777" w:rsidR="00CD31B1" w:rsidRPr="006212FA" w:rsidRDefault="00CD31B1" w:rsidP="00297B35">
            <w:pPr>
              <w:spacing w:before="120"/>
              <w:ind w:left="-107"/>
              <w:rPr>
                <w:rFonts w:asciiTheme="majorHAnsi" w:hAnsiTheme="majorHAnsi"/>
              </w:rPr>
            </w:pPr>
            <w:bookmarkStart w:id="0" w:name="Abstract"/>
            <w:r w:rsidRPr="006212FA">
              <w:rPr>
                <w:rFonts w:asciiTheme="majorHAnsi" w:hAnsiTheme="majorHAnsi"/>
                <w:b/>
                <w:bCs/>
                <w:iCs/>
              </w:rPr>
              <w:t>Abstract</w:t>
            </w:r>
            <w:bookmarkEnd w:id="0"/>
          </w:p>
        </w:tc>
      </w:tr>
      <w:tr w:rsidR="004B15EE" w:rsidRPr="006212FA" w14:paraId="2D1D2A4B" w14:textId="77777777" w:rsidTr="001669CC">
        <w:trPr>
          <w:trHeight w:val="911"/>
        </w:trPr>
        <w:tc>
          <w:tcPr>
            <w:tcW w:w="2246" w:type="dxa"/>
            <w:tcBorders>
              <w:top w:val="single" w:sz="4" w:space="0" w:color="auto"/>
              <w:left w:val="nil"/>
              <w:bottom w:val="single" w:sz="4" w:space="0" w:color="auto"/>
              <w:right w:val="nil"/>
            </w:tcBorders>
          </w:tcPr>
          <w:p w14:paraId="21E1900C" w14:textId="77777777" w:rsidR="004B15EE" w:rsidRPr="00C1431F" w:rsidRDefault="004B15EE" w:rsidP="004B15EE">
            <w:pPr>
              <w:spacing w:before="120"/>
              <w:ind w:left="-108"/>
              <w:rPr>
                <w:rFonts w:asciiTheme="majorHAnsi" w:hAnsiTheme="majorHAnsi"/>
                <w:bCs/>
                <w:i/>
                <w:sz w:val="18"/>
                <w:szCs w:val="16"/>
              </w:rPr>
            </w:pPr>
            <w:r w:rsidRPr="00C1431F">
              <w:rPr>
                <w:rFonts w:asciiTheme="majorHAnsi" w:hAnsiTheme="majorHAnsi"/>
                <w:bCs/>
                <w:i/>
                <w:sz w:val="18"/>
                <w:szCs w:val="16"/>
              </w:rPr>
              <w:t>Manuscript submitted:</w:t>
            </w:r>
          </w:p>
          <w:p w14:paraId="2F703ED7" w14:textId="77777777" w:rsidR="004B15EE" w:rsidRPr="00C1431F" w:rsidRDefault="004B15EE" w:rsidP="004B15EE">
            <w:pPr>
              <w:ind w:left="-108"/>
              <w:rPr>
                <w:rFonts w:asciiTheme="majorHAnsi" w:hAnsiTheme="majorHAnsi" w:cs="Courier New"/>
                <w:b/>
                <w:i/>
                <w:sz w:val="18"/>
                <w:szCs w:val="16"/>
              </w:rPr>
            </w:pPr>
            <w:r>
              <w:rPr>
                <w:rFonts w:asciiTheme="majorHAnsi" w:hAnsiTheme="majorHAnsi"/>
                <w:b/>
                <w:bCs/>
                <w:i/>
                <w:sz w:val="18"/>
                <w:szCs w:val="16"/>
              </w:rPr>
              <w:t>15</w:t>
            </w:r>
            <w:r w:rsidRPr="00C1431F">
              <w:rPr>
                <w:rFonts w:asciiTheme="majorHAnsi" w:hAnsiTheme="majorHAnsi"/>
                <w:b/>
                <w:bCs/>
                <w:i/>
                <w:sz w:val="18"/>
                <w:szCs w:val="16"/>
              </w:rPr>
              <w:t xml:space="preserve"> </w:t>
            </w:r>
            <w:r>
              <w:rPr>
                <w:rFonts w:asciiTheme="majorHAnsi" w:hAnsiTheme="majorHAnsi"/>
                <w:b/>
                <w:bCs/>
                <w:i/>
                <w:sz w:val="18"/>
                <w:szCs w:val="16"/>
              </w:rPr>
              <w:t>Oktober</w:t>
            </w:r>
            <w:r w:rsidRPr="00C1431F">
              <w:rPr>
                <w:rFonts w:asciiTheme="majorHAnsi" w:hAnsiTheme="majorHAnsi"/>
                <w:b/>
                <w:bCs/>
                <w:i/>
                <w:sz w:val="18"/>
                <w:szCs w:val="16"/>
              </w:rPr>
              <w:t xml:space="preserve"> 2024</w:t>
            </w:r>
          </w:p>
          <w:p w14:paraId="2C63C07D" w14:textId="77777777" w:rsidR="004B15EE" w:rsidRPr="00C1431F" w:rsidRDefault="004B15EE" w:rsidP="004B15EE">
            <w:pPr>
              <w:ind w:left="-108"/>
              <w:rPr>
                <w:rFonts w:asciiTheme="majorHAnsi" w:hAnsiTheme="majorHAnsi" w:cs="Courier New"/>
                <w:i/>
                <w:sz w:val="18"/>
                <w:szCs w:val="16"/>
              </w:rPr>
            </w:pPr>
            <w:r w:rsidRPr="00C1431F">
              <w:rPr>
                <w:rFonts w:asciiTheme="majorHAnsi" w:hAnsiTheme="majorHAnsi" w:cs="Courier New"/>
                <w:i/>
                <w:sz w:val="18"/>
                <w:szCs w:val="16"/>
              </w:rPr>
              <w:t>Manuscript revised:</w:t>
            </w:r>
          </w:p>
          <w:p w14:paraId="09DC364F" w14:textId="2D334819" w:rsidR="004B15EE" w:rsidRPr="00C1431F" w:rsidRDefault="004B15EE" w:rsidP="004B15EE">
            <w:pPr>
              <w:ind w:left="-108"/>
              <w:rPr>
                <w:rFonts w:asciiTheme="majorHAnsi" w:hAnsiTheme="majorHAnsi" w:cs="Courier New"/>
                <w:b/>
                <w:i/>
                <w:sz w:val="18"/>
                <w:szCs w:val="16"/>
              </w:rPr>
            </w:pPr>
            <w:r>
              <w:rPr>
                <w:rFonts w:asciiTheme="majorHAnsi" w:hAnsiTheme="majorHAnsi"/>
                <w:b/>
                <w:bCs/>
                <w:i/>
                <w:sz w:val="18"/>
                <w:szCs w:val="16"/>
              </w:rPr>
              <w:t>20</w:t>
            </w:r>
            <w:r w:rsidRPr="00C1431F">
              <w:rPr>
                <w:rFonts w:asciiTheme="majorHAnsi" w:hAnsiTheme="majorHAnsi"/>
                <w:b/>
                <w:bCs/>
                <w:i/>
                <w:sz w:val="18"/>
                <w:szCs w:val="16"/>
              </w:rPr>
              <w:t xml:space="preserve"> </w:t>
            </w:r>
            <w:r>
              <w:rPr>
                <w:rFonts w:asciiTheme="majorHAnsi" w:hAnsiTheme="majorHAnsi"/>
                <w:b/>
                <w:bCs/>
                <w:i/>
                <w:sz w:val="18"/>
                <w:szCs w:val="16"/>
              </w:rPr>
              <w:t>Oktober</w:t>
            </w:r>
            <w:r w:rsidRPr="00C1431F">
              <w:rPr>
                <w:rFonts w:asciiTheme="majorHAnsi" w:hAnsiTheme="majorHAnsi"/>
                <w:b/>
                <w:bCs/>
                <w:i/>
                <w:sz w:val="18"/>
                <w:szCs w:val="16"/>
              </w:rPr>
              <w:t xml:space="preserve"> 2024</w:t>
            </w:r>
          </w:p>
          <w:p w14:paraId="601C1F55" w14:textId="77777777" w:rsidR="004B15EE" w:rsidRPr="00C1431F" w:rsidRDefault="004B15EE" w:rsidP="004B15EE">
            <w:pPr>
              <w:ind w:hanging="108"/>
              <w:rPr>
                <w:rFonts w:asciiTheme="majorHAnsi" w:hAnsiTheme="majorHAnsi"/>
                <w:sz w:val="22"/>
              </w:rPr>
            </w:pPr>
            <w:r w:rsidRPr="00C1431F">
              <w:rPr>
                <w:rFonts w:asciiTheme="majorHAnsi" w:hAnsiTheme="majorHAnsi" w:cs="Courier New"/>
                <w:i/>
                <w:sz w:val="18"/>
                <w:szCs w:val="16"/>
              </w:rPr>
              <w:t>Accepted for publication:</w:t>
            </w:r>
          </w:p>
          <w:p w14:paraId="31EAE748" w14:textId="7633466C" w:rsidR="004B15EE" w:rsidRPr="00C1431F" w:rsidRDefault="004B15EE" w:rsidP="004B15EE">
            <w:pPr>
              <w:ind w:left="-108"/>
              <w:rPr>
                <w:rFonts w:asciiTheme="majorHAnsi" w:hAnsiTheme="majorHAnsi" w:cs="Courier New"/>
                <w:b/>
                <w:i/>
                <w:sz w:val="18"/>
                <w:szCs w:val="16"/>
              </w:rPr>
            </w:pPr>
            <w:r w:rsidRPr="00C1431F">
              <w:rPr>
                <w:rFonts w:asciiTheme="majorHAnsi" w:hAnsiTheme="majorHAnsi"/>
                <w:b/>
                <w:bCs/>
                <w:i/>
                <w:sz w:val="18"/>
                <w:szCs w:val="16"/>
              </w:rPr>
              <w:t>2</w:t>
            </w:r>
            <w:r>
              <w:rPr>
                <w:rFonts w:asciiTheme="majorHAnsi" w:hAnsiTheme="majorHAnsi"/>
                <w:b/>
                <w:bCs/>
                <w:i/>
                <w:sz w:val="18"/>
                <w:szCs w:val="16"/>
              </w:rPr>
              <w:t>8</w:t>
            </w:r>
            <w:r w:rsidRPr="00C1431F">
              <w:rPr>
                <w:rFonts w:asciiTheme="majorHAnsi" w:hAnsiTheme="majorHAnsi"/>
                <w:b/>
                <w:bCs/>
                <w:i/>
                <w:sz w:val="18"/>
                <w:szCs w:val="16"/>
              </w:rPr>
              <w:t xml:space="preserve"> </w:t>
            </w:r>
            <w:r>
              <w:rPr>
                <w:rFonts w:asciiTheme="majorHAnsi" w:hAnsiTheme="majorHAnsi"/>
                <w:b/>
                <w:bCs/>
                <w:i/>
                <w:sz w:val="18"/>
                <w:szCs w:val="16"/>
              </w:rPr>
              <w:t xml:space="preserve">Oktober </w:t>
            </w:r>
            <w:r w:rsidRPr="00C1431F">
              <w:rPr>
                <w:rFonts w:asciiTheme="majorHAnsi" w:hAnsiTheme="majorHAnsi"/>
                <w:b/>
                <w:bCs/>
                <w:i/>
                <w:sz w:val="18"/>
                <w:szCs w:val="16"/>
              </w:rPr>
              <w:t>2024</w:t>
            </w:r>
          </w:p>
          <w:p w14:paraId="1BB7821C" w14:textId="77777777" w:rsidR="004B15EE" w:rsidRPr="006212FA" w:rsidRDefault="004B15EE" w:rsidP="004B15EE">
            <w:pPr>
              <w:ind w:left="-68"/>
              <w:rPr>
                <w:rFonts w:asciiTheme="majorHAnsi" w:hAnsiTheme="majorHAnsi"/>
              </w:rPr>
            </w:pPr>
          </w:p>
          <w:p w14:paraId="6A07348D" w14:textId="77777777" w:rsidR="004B15EE" w:rsidRPr="006212FA" w:rsidRDefault="004B15EE" w:rsidP="004B15EE">
            <w:pPr>
              <w:ind w:left="-68"/>
              <w:rPr>
                <w:rFonts w:asciiTheme="majorHAnsi" w:hAnsiTheme="majorHAnsi"/>
              </w:rPr>
            </w:pPr>
          </w:p>
          <w:p w14:paraId="3177F0E5" w14:textId="77777777" w:rsidR="004B15EE" w:rsidRPr="006212FA" w:rsidRDefault="004B15EE" w:rsidP="004B15EE">
            <w:pPr>
              <w:ind w:left="-68"/>
              <w:rPr>
                <w:rFonts w:asciiTheme="majorHAnsi" w:hAnsiTheme="majorHAnsi"/>
              </w:rPr>
            </w:pPr>
          </w:p>
          <w:p w14:paraId="61615BB4" w14:textId="77777777" w:rsidR="004B15EE" w:rsidRPr="006212FA" w:rsidRDefault="004B15EE" w:rsidP="004B15EE">
            <w:pPr>
              <w:ind w:left="-68"/>
              <w:rPr>
                <w:rFonts w:asciiTheme="majorHAnsi" w:hAnsiTheme="majorHAnsi"/>
              </w:rPr>
            </w:pPr>
          </w:p>
          <w:p w14:paraId="6F07F269" w14:textId="77777777" w:rsidR="004B15EE" w:rsidRPr="006212FA" w:rsidRDefault="004B15EE" w:rsidP="004B15EE">
            <w:pPr>
              <w:ind w:left="-68"/>
              <w:rPr>
                <w:rFonts w:asciiTheme="majorHAnsi" w:hAnsiTheme="majorHAnsi"/>
              </w:rPr>
            </w:pPr>
          </w:p>
        </w:tc>
        <w:tc>
          <w:tcPr>
            <w:tcW w:w="280" w:type="dxa"/>
            <w:vMerge w:val="restart"/>
            <w:tcBorders>
              <w:top w:val="nil"/>
              <w:left w:val="nil"/>
              <w:bottom w:val="nil"/>
              <w:right w:val="nil"/>
            </w:tcBorders>
          </w:tcPr>
          <w:p w14:paraId="1EEBA72C" w14:textId="77777777" w:rsidR="004B15EE" w:rsidRPr="006212FA" w:rsidRDefault="004B15EE" w:rsidP="004B15EE">
            <w:pPr>
              <w:spacing w:before="120"/>
              <w:jc w:val="both"/>
              <w:rPr>
                <w:rFonts w:asciiTheme="majorHAnsi" w:hAnsiTheme="majorHAnsi"/>
              </w:rPr>
            </w:pPr>
          </w:p>
        </w:tc>
        <w:tc>
          <w:tcPr>
            <w:tcW w:w="6830" w:type="dxa"/>
            <w:vMerge w:val="restart"/>
            <w:tcBorders>
              <w:top w:val="single" w:sz="4" w:space="0" w:color="auto"/>
              <w:left w:val="nil"/>
              <w:bottom w:val="nil"/>
              <w:right w:val="nil"/>
            </w:tcBorders>
          </w:tcPr>
          <w:p w14:paraId="517914BB" w14:textId="0026DA1E" w:rsidR="004B15EE" w:rsidRPr="00CA69D1" w:rsidRDefault="004B15EE" w:rsidP="004B15EE">
            <w:pPr>
              <w:spacing w:before="120"/>
              <w:ind w:right="-108"/>
              <w:jc w:val="both"/>
              <w:rPr>
                <w:rFonts w:ascii="Cambria" w:hAnsi="Cambria"/>
              </w:rPr>
            </w:pPr>
            <w:r w:rsidRPr="00403F75">
              <w:rPr>
                <w:rFonts w:asciiTheme="majorHAnsi" w:eastAsia="Cambria" w:hAnsiTheme="majorHAnsi" w:cs="Cambria"/>
              </w:rPr>
              <w:t xml:space="preserve">The aim of this research is to ascertain </w:t>
            </w:r>
            <w:r w:rsidRPr="00BE77FA">
              <w:rPr>
                <w:rFonts w:asciiTheme="majorHAnsi" w:eastAsia="Cambria" w:hAnsiTheme="majorHAnsi" w:cs="Cambria"/>
              </w:rPr>
              <w:t xml:space="preserve">how the corruption eradication commission and the military police are involved in handling corruption crimes in the military environment. The method used in this study is normative juridical by using a statutory approach and a conceptual approach. Corruption in the procurement of goods and services in the military has its own challenges because it involves strategic materials and defense projects. The Military Police plays an important role in investigating military personnel involved in corruption, especially in maintaining military discipline. The Corruption Eradication Commission has broad authority to investigate corruption cases, including those involving military personnel. However, for the prosecution process, cases involving military personnel must be heard in Military Courts. The results of this study show that the balance between the military civil justice system is essential for effective law enforcement in corruption cases in the military environment.  </w:t>
            </w:r>
          </w:p>
        </w:tc>
      </w:tr>
      <w:tr w:rsidR="004B15EE" w:rsidRPr="006212FA" w14:paraId="5AEC5E73" w14:textId="77777777" w:rsidTr="001669CC">
        <w:trPr>
          <w:trHeight w:val="884"/>
        </w:trPr>
        <w:tc>
          <w:tcPr>
            <w:tcW w:w="2246" w:type="dxa"/>
            <w:vMerge w:val="restart"/>
            <w:tcBorders>
              <w:top w:val="single" w:sz="4" w:space="0" w:color="auto"/>
              <w:left w:val="nil"/>
              <w:bottom w:val="single" w:sz="4" w:space="0" w:color="auto"/>
              <w:right w:val="nil"/>
            </w:tcBorders>
          </w:tcPr>
          <w:p w14:paraId="488D307D" w14:textId="6780D335" w:rsidR="001140EF" w:rsidRPr="00EF6092" w:rsidRDefault="004B15EE" w:rsidP="001140EF">
            <w:pPr>
              <w:spacing w:before="120" w:after="120"/>
              <w:ind w:left="-108"/>
              <w:rPr>
                <w:rFonts w:asciiTheme="majorHAnsi" w:eastAsia="Cambria" w:hAnsiTheme="majorHAnsi" w:cs="Cambria"/>
                <w:bCs/>
                <w:i/>
              </w:rPr>
            </w:pPr>
            <w:bookmarkStart w:id="1" w:name="Keywords"/>
            <w:r w:rsidRPr="00297B35">
              <w:rPr>
                <w:rFonts w:asciiTheme="majorHAnsi" w:hAnsiTheme="majorHAnsi"/>
                <w:b/>
                <w:i/>
              </w:rPr>
              <w:t>Keywords</w:t>
            </w:r>
            <w:bookmarkEnd w:id="1"/>
            <w:r>
              <w:rPr>
                <w:rFonts w:asciiTheme="majorHAnsi" w:hAnsiTheme="majorHAnsi"/>
                <w:b/>
                <w:i/>
              </w:rPr>
              <w:br/>
            </w:r>
            <w:r w:rsidR="001140EF" w:rsidRPr="00EF6092">
              <w:rPr>
                <w:rFonts w:asciiTheme="majorHAnsi" w:eastAsia="Cambria" w:hAnsiTheme="majorHAnsi" w:cs="Cambria"/>
                <w:bCs/>
                <w:i/>
              </w:rPr>
              <w:t xml:space="preserve">Military </w:t>
            </w:r>
            <w:r w:rsidR="001140EF">
              <w:rPr>
                <w:rFonts w:asciiTheme="majorHAnsi" w:eastAsia="Cambria" w:hAnsiTheme="majorHAnsi" w:cs="Cambria"/>
                <w:bCs/>
                <w:i/>
              </w:rPr>
              <w:t>p</w:t>
            </w:r>
            <w:r w:rsidR="001140EF" w:rsidRPr="00EF6092">
              <w:rPr>
                <w:rFonts w:asciiTheme="majorHAnsi" w:eastAsia="Cambria" w:hAnsiTheme="majorHAnsi" w:cs="Cambria"/>
                <w:bCs/>
                <w:i/>
              </w:rPr>
              <w:t>olice, military procurement, corruption</w:t>
            </w:r>
          </w:p>
          <w:p w14:paraId="577C703C" w14:textId="6B8A107C" w:rsidR="004B15EE" w:rsidRPr="00B76BFE" w:rsidRDefault="004B15EE" w:rsidP="004B15EE">
            <w:pPr>
              <w:ind w:left="-108"/>
              <w:jc w:val="both"/>
              <w:rPr>
                <w:rFonts w:asciiTheme="majorHAnsi" w:eastAsia="Cambria" w:hAnsiTheme="majorHAnsi" w:cs="Cambria"/>
                <w:i/>
                <w:sz w:val="16"/>
                <w:szCs w:val="16"/>
              </w:rPr>
            </w:pPr>
          </w:p>
          <w:p w14:paraId="4E7E577A" w14:textId="5BEA9F16" w:rsidR="004B15EE" w:rsidRPr="00CA69D1" w:rsidRDefault="004B15EE" w:rsidP="004B15EE">
            <w:pPr>
              <w:ind w:left="-108"/>
              <w:jc w:val="both"/>
              <w:rPr>
                <w:rFonts w:eastAsia="Cambria"/>
              </w:rPr>
            </w:pPr>
          </w:p>
          <w:p w14:paraId="52EC4959" w14:textId="5FEEC5D9" w:rsidR="004B15EE" w:rsidRPr="009F6AC4" w:rsidRDefault="004B15EE" w:rsidP="004B15EE">
            <w:pPr>
              <w:ind w:left="-108"/>
              <w:jc w:val="both"/>
              <w:rPr>
                <w:rFonts w:ascii="Cambria" w:eastAsia="Cambria" w:hAnsi="Cambria" w:cs="Cambria"/>
                <w:i/>
              </w:rPr>
            </w:pPr>
          </w:p>
        </w:tc>
        <w:tc>
          <w:tcPr>
            <w:tcW w:w="280" w:type="dxa"/>
            <w:vMerge/>
            <w:tcBorders>
              <w:top w:val="nil"/>
              <w:left w:val="nil"/>
              <w:bottom w:val="nil"/>
              <w:right w:val="nil"/>
            </w:tcBorders>
          </w:tcPr>
          <w:p w14:paraId="4DC6CDD2" w14:textId="77777777" w:rsidR="004B15EE" w:rsidRPr="006212FA" w:rsidRDefault="004B15EE" w:rsidP="004B15EE">
            <w:pPr>
              <w:spacing w:before="120"/>
              <w:jc w:val="both"/>
              <w:rPr>
                <w:rFonts w:asciiTheme="majorHAnsi" w:hAnsiTheme="majorHAnsi"/>
              </w:rPr>
            </w:pPr>
          </w:p>
        </w:tc>
        <w:tc>
          <w:tcPr>
            <w:tcW w:w="6830" w:type="dxa"/>
            <w:vMerge/>
            <w:tcBorders>
              <w:top w:val="nil"/>
              <w:left w:val="nil"/>
              <w:bottom w:val="nil"/>
              <w:right w:val="nil"/>
            </w:tcBorders>
          </w:tcPr>
          <w:p w14:paraId="5ED2E01B" w14:textId="77777777" w:rsidR="004B15EE" w:rsidRPr="006212FA" w:rsidRDefault="004B15EE" w:rsidP="004B15EE">
            <w:pPr>
              <w:spacing w:before="120"/>
              <w:jc w:val="both"/>
              <w:rPr>
                <w:rFonts w:asciiTheme="majorHAnsi" w:hAnsiTheme="majorHAnsi"/>
                <w:iCs/>
              </w:rPr>
            </w:pPr>
          </w:p>
        </w:tc>
      </w:tr>
      <w:tr w:rsidR="004B15EE" w:rsidRPr="006212FA" w14:paraId="0ED5927A" w14:textId="77777777" w:rsidTr="001669CC">
        <w:trPr>
          <w:trHeight w:val="848"/>
        </w:trPr>
        <w:tc>
          <w:tcPr>
            <w:tcW w:w="2246" w:type="dxa"/>
            <w:vMerge/>
            <w:tcBorders>
              <w:top w:val="single" w:sz="4" w:space="0" w:color="auto"/>
              <w:left w:val="nil"/>
              <w:bottom w:val="nil"/>
              <w:right w:val="nil"/>
            </w:tcBorders>
          </w:tcPr>
          <w:p w14:paraId="38F0382C" w14:textId="77777777" w:rsidR="004B15EE" w:rsidRPr="006212FA" w:rsidRDefault="004B15EE" w:rsidP="004B15EE">
            <w:pPr>
              <w:spacing w:before="120" w:after="120"/>
              <w:ind w:right="-108"/>
              <w:jc w:val="both"/>
              <w:rPr>
                <w:rFonts w:asciiTheme="majorHAnsi" w:hAnsiTheme="majorHAnsi"/>
                <w:b/>
                <w:i/>
              </w:rPr>
            </w:pPr>
          </w:p>
        </w:tc>
        <w:tc>
          <w:tcPr>
            <w:tcW w:w="280" w:type="dxa"/>
            <w:vMerge/>
            <w:tcBorders>
              <w:top w:val="nil"/>
              <w:left w:val="nil"/>
              <w:bottom w:val="nil"/>
              <w:right w:val="nil"/>
            </w:tcBorders>
          </w:tcPr>
          <w:p w14:paraId="72A7B404" w14:textId="77777777" w:rsidR="004B15EE" w:rsidRPr="006212FA" w:rsidRDefault="004B15EE" w:rsidP="004B15EE">
            <w:pPr>
              <w:spacing w:before="120"/>
              <w:ind w:right="-108"/>
              <w:jc w:val="both"/>
              <w:rPr>
                <w:rFonts w:asciiTheme="majorHAnsi" w:hAnsiTheme="majorHAnsi"/>
              </w:rPr>
            </w:pPr>
          </w:p>
        </w:tc>
        <w:tc>
          <w:tcPr>
            <w:tcW w:w="6830" w:type="dxa"/>
            <w:tcBorders>
              <w:top w:val="nil"/>
              <w:left w:val="nil"/>
              <w:bottom w:val="nil"/>
              <w:right w:val="nil"/>
            </w:tcBorders>
          </w:tcPr>
          <w:p w14:paraId="7865140E" w14:textId="77777777" w:rsidR="004B15EE" w:rsidRDefault="004B15EE" w:rsidP="004B15EE">
            <w:pPr>
              <w:ind w:right="-108"/>
              <w:rPr>
                <w:rFonts w:asciiTheme="majorHAnsi" w:hAnsiTheme="majorHAnsi"/>
                <w:i/>
                <w:shd w:val="clear" w:color="auto" w:fill="FFFFFF"/>
              </w:rPr>
            </w:pPr>
          </w:p>
          <w:p w14:paraId="10F1DF3A" w14:textId="77777777" w:rsidR="004B15EE" w:rsidRDefault="004B15EE" w:rsidP="004B15EE">
            <w:pPr>
              <w:ind w:right="-108"/>
              <w:rPr>
                <w:rFonts w:asciiTheme="majorHAnsi" w:hAnsiTheme="majorHAnsi"/>
                <w:i/>
                <w:shd w:val="clear" w:color="auto" w:fill="FFFFFF"/>
              </w:rPr>
            </w:pPr>
          </w:p>
          <w:p w14:paraId="26B1FAF6" w14:textId="627688A5" w:rsidR="004B15EE" w:rsidRPr="00197200" w:rsidRDefault="004B15EE" w:rsidP="004B15EE">
            <w:pPr>
              <w:ind w:right="-108"/>
              <w:jc w:val="right"/>
              <w:rPr>
                <w:rFonts w:asciiTheme="majorHAnsi" w:hAnsiTheme="majorHAnsi"/>
                <w:i/>
                <w:iCs/>
              </w:rPr>
            </w:pPr>
            <w:r w:rsidRPr="00E5723C">
              <w:rPr>
                <w:rFonts w:asciiTheme="majorHAnsi" w:hAnsiTheme="majorHAnsi"/>
                <w:i/>
                <w:shd w:val="clear" w:color="auto" w:fill="FFFFFF"/>
              </w:rPr>
              <w:t>International Journal of Social Sciences and Humanities</w:t>
            </w:r>
            <w:r>
              <w:rPr>
                <w:rFonts w:asciiTheme="majorHAnsi" w:hAnsiTheme="majorHAnsi"/>
                <w:i/>
                <w:shd w:val="clear" w:color="auto" w:fill="FFFFFF"/>
              </w:rPr>
              <w:t xml:space="preserve"> </w:t>
            </w:r>
            <w:r w:rsidRPr="00197200">
              <w:rPr>
                <w:rFonts w:asciiTheme="majorHAnsi" w:hAnsiTheme="majorHAnsi"/>
                <w:i/>
                <w:shd w:val="clear" w:color="auto" w:fill="FFFFFF"/>
              </w:rPr>
              <w:t>©</w:t>
            </w:r>
            <w:r w:rsidRPr="00197200">
              <w:rPr>
                <w:rFonts w:asciiTheme="majorHAnsi" w:hAnsiTheme="majorHAnsi"/>
                <w:i/>
                <w:iCs/>
                <w:vertAlign w:val="superscript"/>
              </w:rPr>
              <w:t xml:space="preserve"> </w:t>
            </w:r>
            <w:r>
              <w:rPr>
                <w:rFonts w:asciiTheme="majorHAnsi" w:hAnsiTheme="majorHAnsi"/>
                <w:i/>
                <w:iCs/>
              </w:rPr>
              <w:t>2024</w:t>
            </w:r>
            <w:r w:rsidRPr="00197200">
              <w:rPr>
                <w:rFonts w:asciiTheme="majorHAnsi" w:hAnsiTheme="majorHAnsi"/>
                <w:i/>
                <w:iCs/>
              </w:rPr>
              <w:t>.</w:t>
            </w:r>
          </w:p>
          <w:p w14:paraId="14F56C70" w14:textId="77777777" w:rsidR="004B15EE" w:rsidRPr="00197200" w:rsidRDefault="004B15EE" w:rsidP="004B15EE">
            <w:pPr>
              <w:ind w:right="-108"/>
              <w:jc w:val="right"/>
              <w:rPr>
                <w:rFonts w:asciiTheme="majorHAnsi" w:hAnsiTheme="majorHAnsi"/>
                <w:i/>
                <w:iCs/>
              </w:rPr>
            </w:pPr>
            <w:r w:rsidRPr="00197200">
              <w:rPr>
                <w:rFonts w:asciiTheme="majorHAnsi" w:hAnsiTheme="majorHAnsi"/>
                <w:i/>
                <w:iCs/>
              </w:rPr>
              <w:t>This is an open access article under the CC BY-NC-ND license</w:t>
            </w:r>
          </w:p>
          <w:p w14:paraId="264DB997" w14:textId="77777777" w:rsidR="004B15EE" w:rsidRPr="00E147D3" w:rsidRDefault="004B15EE" w:rsidP="004B15EE">
            <w:pPr>
              <w:ind w:right="-108"/>
              <w:jc w:val="right"/>
              <w:rPr>
                <w:rFonts w:asciiTheme="majorHAnsi" w:hAnsiTheme="majorHAnsi"/>
                <w:i/>
                <w:iCs/>
              </w:rPr>
            </w:pPr>
            <w:r w:rsidRPr="00197200">
              <w:rPr>
                <w:rFonts w:asciiTheme="majorHAnsi" w:hAnsiTheme="majorHAnsi"/>
                <w:i/>
              </w:rPr>
              <w:t>(</w:t>
            </w:r>
            <w:hyperlink r:id="rId8" w:history="1">
              <w:r w:rsidRPr="00197200">
                <w:rPr>
                  <w:rStyle w:val="Hyperlink"/>
                  <w:rFonts w:asciiTheme="majorHAnsi" w:hAnsiTheme="majorHAnsi"/>
                  <w:i/>
                  <w:u w:val="none"/>
                </w:rPr>
                <w:t>https://creativecommons.org/licenses/by-nc-nd/4.0/</w:t>
              </w:r>
            </w:hyperlink>
            <w:r w:rsidRPr="00197200">
              <w:rPr>
                <w:rFonts w:asciiTheme="majorHAnsi" w:hAnsiTheme="majorHAnsi"/>
                <w:i/>
              </w:rPr>
              <w:t>)</w:t>
            </w:r>
          </w:p>
        </w:tc>
      </w:tr>
      <w:tr w:rsidR="004B15EE" w:rsidRPr="006212FA" w14:paraId="4EDA9846" w14:textId="77777777" w:rsidTr="001669CC">
        <w:trPr>
          <w:trHeight w:val="53"/>
        </w:trPr>
        <w:tc>
          <w:tcPr>
            <w:tcW w:w="9356" w:type="dxa"/>
            <w:gridSpan w:val="3"/>
            <w:tcBorders>
              <w:top w:val="nil"/>
              <w:left w:val="nil"/>
              <w:bottom w:val="double" w:sz="4" w:space="0" w:color="auto"/>
              <w:right w:val="nil"/>
            </w:tcBorders>
          </w:tcPr>
          <w:p w14:paraId="326103C6" w14:textId="77777777" w:rsidR="004B15EE" w:rsidRPr="006212FA" w:rsidRDefault="004B15EE" w:rsidP="004B15EE">
            <w:pPr>
              <w:ind w:right="-108"/>
              <w:rPr>
                <w:rFonts w:asciiTheme="majorHAnsi" w:hAnsiTheme="majorHAnsi"/>
                <w:sz w:val="2"/>
                <w:szCs w:val="2"/>
              </w:rPr>
            </w:pPr>
          </w:p>
        </w:tc>
      </w:tr>
    </w:tbl>
    <w:p w14:paraId="33108B00" w14:textId="77777777" w:rsidR="002E32D4" w:rsidRPr="006212FA" w:rsidRDefault="002E32D4" w:rsidP="00FF7C2F">
      <w:pPr>
        <w:shd w:val="clear" w:color="auto" w:fill="FFFFFF" w:themeFill="background1"/>
        <w:spacing w:after="40"/>
        <w:ind w:right="51"/>
        <w:rPr>
          <w:rFonts w:asciiTheme="majorHAnsi" w:eastAsiaTheme="majorEastAsia" w:hAnsiTheme="majorHAnsi" w:cstheme="majorBidi"/>
          <w:b/>
          <w:bCs/>
          <w:sz w:val="10"/>
          <w:szCs w:val="10"/>
        </w:rPr>
      </w:pPr>
    </w:p>
    <w:p w14:paraId="1CB1431D" w14:textId="77777777" w:rsidR="00891C38" w:rsidRPr="00246556" w:rsidRDefault="00891C38" w:rsidP="00891C38">
      <w:pPr>
        <w:shd w:val="clear" w:color="auto" w:fill="FFFFFF" w:themeFill="background1"/>
        <w:spacing w:after="40"/>
        <w:ind w:right="51"/>
        <w:rPr>
          <w:rFonts w:ascii="Cambria" w:eastAsiaTheme="majorEastAsia" w:hAnsi="Cambria"/>
          <w:b/>
          <w:bCs/>
        </w:rPr>
      </w:pPr>
      <w:r w:rsidRPr="00246556">
        <w:rPr>
          <w:rFonts w:ascii="Cambria" w:eastAsiaTheme="majorEastAsia" w:hAnsi="Cambria"/>
          <w:b/>
          <w:bCs/>
        </w:rPr>
        <w:t>Contents</w:t>
      </w:r>
    </w:p>
    <w:p w14:paraId="57686748" w14:textId="4C8E18D6" w:rsidR="00891C38" w:rsidRPr="00246556" w:rsidRDefault="00891C38" w:rsidP="004E6CBB">
      <w:pPr>
        <w:shd w:val="clear" w:color="auto" w:fill="FDE9D9" w:themeFill="accent6" w:themeFillTint="33"/>
        <w:tabs>
          <w:tab w:val="left" w:leader="dot" w:pos="8931"/>
          <w:tab w:val="right" w:pos="9355"/>
        </w:tabs>
        <w:ind w:right="51"/>
        <w:rPr>
          <w:rFonts w:ascii="Cambria" w:hAnsi="Cambria"/>
        </w:rPr>
      </w:pPr>
      <w:r w:rsidRPr="00246556">
        <w:rPr>
          <w:rFonts w:ascii="Cambria" w:hAnsi="Cambria"/>
        </w:rPr>
        <w:t>Abstract</w:t>
      </w:r>
      <w:r w:rsidRPr="00246556">
        <w:rPr>
          <w:rFonts w:ascii="Cambria" w:hAnsi="Cambria"/>
        </w:rPr>
        <w:tab/>
      </w:r>
      <w:r w:rsidR="009A7860">
        <w:rPr>
          <w:rFonts w:ascii="Cambria" w:hAnsi="Cambria"/>
        </w:rPr>
        <w:t xml:space="preserve">  9</w:t>
      </w:r>
      <w:r w:rsidR="004E6CBB">
        <w:rPr>
          <w:rFonts w:ascii="Cambria" w:hAnsi="Cambria"/>
        </w:rPr>
        <w:t>9</w:t>
      </w:r>
      <w:r w:rsidRPr="00246556">
        <w:rPr>
          <w:rFonts w:ascii="Cambria" w:hAnsi="Cambria"/>
        </w:rPr>
        <w:tab/>
      </w:r>
    </w:p>
    <w:p w14:paraId="5B4F1464" w14:textId="127C8756" w:rsidR="00891C38" w:rsidRPr="00246556" w:rsidRDefault="00891C38" w:rsidP="004E6CBB">
      <w:pPr>
        <w:shd w:val="clear" w:color="auto" w:fill="FDE9D9" w:themeFill="accent6" w:themeFillTint="33"/>
        <w:tabs>
          <w:tab w:val="left" w:leader="dot" w:pos="8931"/>
          <w:tab w:val="right" w:pos="9355"/>
        </w:tabs>
        <w:ind w:left="284" w:right="51" w:hanging="284"/>
        <w:rPr>
          <w:rFonts w:ascii="Cambria" w:hAnsi="Cambria"/>
        </w:rPr>
      </w:pPr>
      <w:r w:rsidRPr="00246556">
        <w:rPr>
          <w:rFonts w:ascii="Cambria" w:hAnsi="Cambria"/>
        </w:rPr>
        <w:t xml:space="preserve">1 </w:t>
      </w:r>
      <w:r w:rsidRPr="00246556">
        <w:rPr>
          <w:rFonts w:ascii="Cambria" w:hAnsi="Cambria"/>
        </w:rPr>
        <w:tab/>
        <w:t>Introduction</w:t>
      </w:r>
      <w:r w:rsidRPr="00246556">
        <w:rPr>
          <w:rFonts w:ascii="Cambria" w:hAnsi="Cambria"/>
        </w:rPr>
        <w:tab/>
      </w:r>
      <w:r w:rsidR="004E6CBB">
        <w:rPr>
          <w:rFonts w:ascii="Cambria" w:hAnsi="Cambria"/>
        </w:rPr>
        <w:t>1</w:t>
      </w:r>
      <w:r w:rsidR="009A7860">
        <w:rPr>
          <w:rFonts w:ascii="Cambria" w:hAnsi="Cambria"/>
        </w:rPr>
        <w:t>0</w:t>
      </w:r>
      <w:r w:rsidR="004E6CBB">
        <w:rPr>
          <w:rFonts w:ascii="Cambria" w:hAnsi="Cambria"/>
        </w:rPr>
        <w:t>0</w:t>
      </w:r>
      <w:r w:rsidRPr="00246556">
        <w:rPr>
          <w:rFonts w:ascii="Cambria" w:hAnsi="Cambria"/>
        </w:rPr>
        <w:tab/>
      </w:r>
    </w:p>
    <w:p w14:paraId="03CE1500" w14:textId="6D0EEE2C" w:rsidR="00891C38" w:rsidRPr="00246556" w:rsidRDefault="00891C38" w:rsidP="004E6CBB">
      <w:pPr>
        <w:shd w:val="clear" w:color="auto" w:fill="FDE9D9" w:themeFill="accent6" w:themeFillTint="33"/>
        <w:tabs>
          <w:tab w:val="left" w:leader="dot" w:pos="8931"/>
          <w:tab w:val="right" w:pos="9355"/>
        </w:tabs>
        <w:ind w:left="284" w:right="51" w:hanging="284"/>
        <w:rPr>
          <w:rFonts w:ascii="Cambria" w:hAnsi="Cambria"/>
        </w:rPr>
      </w:pPr>
      <w:r w:rsidRPr="00246556">
        <w:rPr>
          <w:rFonts w:ascii="Cambria" w:hAnsi="Cambria"/>
          <w:bCs/>
        </w:rPr>
        <w:t xml:space="preserve">2 </w:t>
      </w:r>
      <w:r w:rsidRPr="00246556">
        <w:rPr>
          <w:rFonts w:ascii="Cambria" w:hAnsi="Cambria"/>
          <w:bCs/>
        </w:rPr>
        <w:tab/>
        <w:t>Materials and Methods</w:t>
      </w:r>
      <w:r w:rsidRPr="00246556">
        <w:rPr>
          <w:rFonts w:ascii="Cambria" w:hAnsi="Cambria"/>
          <w:bCs/>
        </w:rPr>
        <w:tab/>
      </w:r>
      <w:r w:rsidR="004E6CBB">
        <w:rPr>
          <w:rFonts w:ascii="Cambria" w:hAnsi="Cambria"/>
          <w:bCs/>
        </w:rPr>
        <w:t>1</w:t>
      </w:r>
      <w:r w:rsidR="009A7860">
        <w:rPr>
          <w:rFonts w:ascii="Cambria" w:hAnsi="Cambria"/>
          <w:bCs/>
        </w:rPr>
        <w:t>1</w:t>
      </w:r>
      <w:r w:rsidR="004E6CBB">
        <w:rPr>
          <w:rFonts w:ascii="Cambria" w:hAnsi="Cambria"/>
          <w:bCs/>
        </w:rPr>
        <w:t>1</w:t>
      </w:r>
      <w:r w:rsidRPr="00246556">
        <w:rPr>
          <w:rFonts w:ascii="Cambria" w:hAnsi="Cambria"/>
          <w:bCs/>
        </w:rPr>
        <w:tab/>
      </w:r>
    </w:p>
    <w:p w14:paraId="14085E38" w14:textId="0D5A30DA" w:rsidR="00891C38" w:rsidRPr="00246556" w:rsidRDefault="00891C38" w:rsidP="004E6CBB">
      <w:pPr>
        <w:shd w:val="clear" w:color="auto" w:fill="FDE9D9" w:themeFill="accent6" w:themeFillTint="33"/>
        <w:tabs>
          <w:tab w:val="left" w:leader="dot" w:pos="8931"/>
          <w:tab w:val="right" w:pos="9355"/>
        </w:tabs>
        <w:ind w:left="284" w:right="51" w:hanging="284"/>
        <w:rPr>
          <w:rFonts w:ascii="Cambria" w:hAnsi="Cambria"/>
        </w:rPr>
      </w:pPr>
      <w:r w:rsidRPr="00246556">
        <w:rPr>
          <w:rFonts w:ascii="Cambria" w:hAnsi="Cambria"/>
          <w:bCs/>
        </w:rPr>
        <w:t xml:space="preserve">3 </w:t>
      </w:r>
      <w:r w:rsidRPr="00246556">
        <w:rPr>
          <w:rFonts w:ascii="Cambria" w:hAnsi="Cambria"/>
          <w:bCs/>
        </w:rPr>
        <w:tab/>
        <w:t>Results and Discussions</w:t>
      </w:r>
      <w:r w:rsidRPr="00246556">
        <w:rPr>
          <w:rFonts w:ascii="Cambria" w:hAnsi="Cambria"/>
          <w:bCs/>
        </w:rPr>
        <w:tab/>
      </w:r>
      <w:r w:rsidR="004E6CBB">
        <w:rPr>
          <w:rFonts w:ascii="Cambria" w:hAnsi="Cambria"/>
          <w:bCs/>
        </w:rPr>
        <w:t>1</w:t>
      </w:r>
      <w:r w:rsidR="009A7860">
        <w:rPr>
          <w:rFonts w:ascii="Cambria" w:hAnsi="Cambria"/>
          <w:bCs/>
        </w:rPr>
        <w:t>1</w:t>
      </w:r>
      <w:r w:rsidR="004E6CBB">
        <w:rPr>
          <w:rFonts w:ascii="Cambria" w:hAnsi="Cambria"/>
          <w:bCs/>
        </w:rPr>
        <w:t>1</w:t>
      </w:r>
      <w:r w:rsidRPr="00246556">
        <w:rPr>
          <w:rFonts w:ascii="Cambria" w:hAnsi="Cambria"/>
          <w:bCs/>
        </w:rPr>
        <w:tab/>
      </w:r>
    </w:p>
    <w:p w14:paraId="20134D2F" w14:textId="7FDA02F7" w:rsidR="00891C38" w:rsidRPr="00246556" w:rsidRDefault="00891C38" w:rsidP="004E6CBB">
      <w:pPr>
        <w:shd w:val="clear" w:color="auto" w:fill="FDE9D9" w:themeFill="accent6" w:themeFillTint="33"/>
        <w:tabs>
          <w:tab w:val="left" w:leader="dot" w:pos="8931"/>
          <w:tab w:val="right" w:pos="9355"/>
        </w:tabs>
        <w:ind w:left="284" w:right="51" w:hanging="284"/>
        <w:rPr>
          <w:rFonts w:ascii="Cambria" w:hAnsi="Cambria"/>
          <w:bCs/>
        </w:rPr>
      </w:pPr>
      <w:r w:rsidRPr="00246556">
        <w:rPr>
          <w:rFonts w:ascii="Cambria" w:hAnsi="Cambria"/>
          <w:bCs/>
        </w:rPr>
        <w:t xml:space="preserve">4 </w:t>
      </w:r>
      <w:r w:rsidRPr="00246556">
        <w:rPr>
          <w:rFonts w:ascii="Cambria" w:hAnsi="Cambria"/>
          <w:bCs/>
        </w:rPr>
        <w:tab/>
        <w:t>Conclusion</w:t>
      </w:r>
      <w:r w:rsidRPr="00246556">
        <w:rPr>
          <w:rFonts w:ascii="Cambria" w:hAnsi="Cambria"/>
          <w:bCs/>
        </w:rPr>
        <w:tab/>
      </w:r>
      <w:r w:rsidR="004E6CBB">
        <w:rPr>
          <w:rFonts w:ascii="Cambria" w:hAnsi="Cambria"/>
          <w:bCs/>
        </w:rPr>
        <w:t>1</w:t>
      </w:r>
      <w:r w:rsidR="009A7860">
        <w:rPr>
          <w:rFonts w:ascii="Cambria" w:hAnsi="Cambria"/>
          <w:bCs/>
        </w:rPr>
        <w:t>0</w:t>
      </w:r>
      <w:r w:rsidR="004E6CBB">
        <w:rPr>
          <w:rFonts w:ascii="Cambria" w:hAnsi="Cambria"/>
          <w:bCs/>
        </w:rPr>
        <w:t>3</w:t>
      </w:r>
      <w:r w:rsidRPr="00246556">
        <w:rPr>
          <w:rFonts w:ascii="Cambria" w:hAnsi="Cambria"/>
          <w:bCs/>
        </w:rPr>
        <w:tab/>
      </w:r>
    </w:p>
    <w:p w14:paraId="1F84B874" w14:textId="19206C65" w:rsidR="00891C38" w:rsidRPr="00246556" w:rsidRDefault="00891C38" w:rsidP="004E6CBB">
      <w:pPr>
        <w:shd w:val="clear" w:color="auto" w:fill="FDE9D9" w:themeFill="accent6" w:themeFillTint="33"/>
        <w:tabs>
          <w:tab w:val="left" w:leader="dot" w:pos="8931"/>
          <w:tab w:val="right" w:pos="9355"/>
        </w:tabs>
        <w:ind w:left="284" w:right="51" w:hanging="284"/>
        <w:rPr>
          <w:rFonts w:ascii="Cambria" w:hAnsi="Cambria"/>
        </w:rPr>
      </w:pPr>
      <w:r w:rsidRPr="00246556">
        <w:rPr>
          <w:rFonts w:ascii="Cambria" w:hAnsi="Cambria"/>
        </w:rPr>
        <w:tab/>
      </w:r>
      <w:r w:rsidRPr="00246556">
        <w:rPr>
          <w:rStyle w:val="apple-style-span"/>
          <w:rFonts w:ascii="Cambria" w:hAnsi="Cambria"/>
          <w:lang w:val="pt-BR"/>
        </w:rPr>
        <w:t>References</w:t>
      </w:r>
      <w:r w:rsidRPr="00246556">
        <w:rPr>
          <w:rStyle w:val="apple-style-span"/>
          <w:rFonts w:ascii="Cambria" w:hAnsi="Cambria"/>
          <w:lang w:val="pt-BR"/>
        </w:rPr>
        <w:tab/>
      </w:r>
      <w:r w:rsidR="004E6CBB">
        <w:rPr>
          <w:rStyle w:val="apple-style-span"/>
          <w:rFonts w:ascii="Cambria" w:hAnsi="Cambria"/>
          <w:lang w:val="pt-BR"/>
        </w:rPr>
        <w:t>1</w:t>
      </w:r>
      <w:r w:rsidR="009A7860">
        <w:rPr>
          <w:rStyle w:val="apple-style-span"/>
          <w:rFonts w:ascii="Cambria" w:hAnsi="Cambria"/>
          <w:lang w:val="pt-BR"/>
        </w:rPr>
        <w:t>03</w:t>
      </w:r>
      <w:r w:rsidRPr="00246556">
        <w:rPr>
          <w:rStyle w:val="apple-style-span"/>
          <w:rFonts w:ascii="Cambria" w:hAnsi="Cambria"/>
          <w:lang w:val="pt-BR"/>
        </w:rPr>
        <w:tab/>
      </w:r>
    </w:p>
    <w:p w14:paraId="41A4EC58" w14:textId="77777777" w:rsidR="00891C38" w:rsidRPr="00C03343" w:rsidRDefault="00891C38" w:rsidP="00891C38">
      <w:pPr>
        <w:shd w:val="clear" w:color="auto" w:fill="FDE9D9" w:themeFill="accent6" w:themeFillTint="33"/>
        <w:tabs>
          <w:tab w:val="left" w:leader="dot" w:pos="8931"/>
          <w:tab w:val="right" w:pos="9355"/>
        </w:tabs>
        <w:ind w:left="284" w:right="51" w:hanging="284"/>
        <w:rPr>
          <w:sz w:val="24"/>
          <w:szCs w:val="24"/>
        </w:rPr>
      </w:pPr>
      <w:r w:rsidRPr="00C03343">
        <w:rPr>
          <w:rStyle w:val="apple-style-span"/>
          <w:sz w:val="24"/>
          <w:szCs w:val="24"/>
          <w:lang w:val="pt-BR"/>
        </w:rPr>
        <w:tab/>
      </w:r>
      <w:r w:rsidRPr="00C03343">
        <w:rPr>
          <w:noProof/>
          <w:color w:val="FF0000"/>
          <w:sz w:val="24"/>
          <w:szCs w:val="24"/>
        </w:rPr>
        <mc:AlternateContent>
          <mc:Choice Requires="wps">
            <w:drawing>
              <wp:anchor distT="4294967295" distB="4294967295" distL="114300" distR="114300" simplePos="0" relativeHeight="251659264" behindDoc="0" locked="0" layoutInCell="1" allowOverlap="1" wp14:anchorId="356629A3" wp14:editId="2B5831D3">
                <wp:simplePos x="0" y="0"/>
                <wp:positionH relativeFrom="margin">
                  <wp:posOffset>-19050</wp:posOffset>
                </wp:positionH>
                <wp:positionV relativeFrom="paragraph">
                  <wp:posOffset>100330</wp:posOffset>
                </wp:positionV>
                <wp:extent cx="5983605" cy="0"/>
                <wp:effectExtent l="0" t="19050" r="55245" b="38100"/>
                <wp:wrapNone/>
                <wp:docPr id="2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3605" cy="0"/>
                        </a:xfrm>
                        <a:prstGeom prst="line">
                          <a:avLst/>
                        </a:prstGeom>
                        <a:noFill/>
                        <a:ln w="63500" cmpd="tri">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0A13B25" id="Straight Connector 40"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5pt,7.9pt" to="469.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" strokecolor="#ffc000" strokeweight="5pt">
                <v:stroke linestyle="thickBetweenThin"/>
                <o:lock v:ext="edit" shapetype="f"/>
                <w10:wrap anchorx="margin"/>
              </v:line>
            </w:pict>
          </mc:Fallback>
        </mc:AlternateContent>
      </w:r>
    </w:p>
    <w:p w14:paraId="5BA01D06" w14:textId="77777777" w:rsidR="00BB1CF2" w:rsidRDefault="00BB1CF2" w:rsidP="009C7995">
      <w:pPr>
        <w:rPr>
          <w:rFonts w:asciiTheme="majorHAnsi" w:hAnsiTheme="majorHAnsi"/>
          <w:b/>
          <w:bCs/>
          <w:sz w:val="24"/>
          <w:szCs w:val="24"/>
        </w:rPr>
      </w:pPr>
    </w:p>
    <w:p w14:paraId="0131FC3E" w14:textId="617F63CA" w:rsidR="00425F0C" w:rsidRPr="00344055" w:rsidRDefault="00425F0C" w:rsidP="00666386">
      <w:pPr>
        <w:ind w:left="284" w:hanging="284"/>
        <w:rPr>
          <w:rFonts w:ascii="Cambria" w:hAnsi="Cambria"/>
          <w:b/>
          <w:bCs/>
          <w:sz w:val="24"/>
          <w:szCs w:val="24"/>
          <w:lang w:val="id-ID"/>
        </w:rPr>
      </w:pPr>
      <w:r w:rsidRPr="00344055">
        <w:rPr>
          <w:rFonts w:ascii="Cambria" w:hAnsi="Cambria"/>
          <w:b/>
          <w:bCs/>
          <w:sz w:val="24"/>
          <w:szCs w:val="24"/>
          <w:lang w:val="id-ID"/>
        </w:rPr>
        <w:t>Introduction</w:t>
      </w:r>
    </w:p>
    <w:p w14:paraId="0D6A97F6" w14:textId="4D54792E" w:rsidR="009F6AC4" w:rsidRDefault="009F6AC4" w:rsidP="009F6AC4">
      <w:pPr>
        <w:jc w:val="both"/>
        <w:rPr>
          <w:rFonts w:asciiTheme="majorHAnsi" w:hAnsiTheme="majorHAnsi"/>
          <w:lang w:val="id-ID"/>
        </w:rPr>
      </w:pPr>
    </w:p>
    <w:p w14:paraId="67A7BABA" w14:textId="77777777" w:rsidR="00515C8B" w:rsidRDefault="00CA69D1" w:rsidP="00515C8B">
      <w:pPr>
        <w:ind w:firstLine="284"/>
        <w:jc w:val="both"/>
        <w:rPr>
          <w:rFonts w:asciiTheme="majorHAnsi" w:hAnsiTheme="majorHAnsi"/>
        </w:rPr>
      </w:pPr>
      <w:r w:rsidRPr="00B76BFE">
        <w:rPr>
          <w:rFonts w:asciiTheme="majorHAnsi" w:hAnsiTheme="majorHAnsi"/>
        </w:rPr>
        <w:t>In the modern business world, corporate ownership structures are increasingly complex. The existence of a legal entity such as a Limited Liability Company</w:t>
      </w:r>
      <w:r>
        <w:rPr>
          <w:rFonts w:asciiTheme="majorHAnsi" w:hAnsiTheme="majorHAnsi"/>
        </w:rPr>
        <w:t xml:space="preserve"> </w:t>
      </w:r>
      <w:r w:rsidRPr="00B76BFE">
        <w:rPr>
          <w:rFonts w:asciiTheme="majorHAnsi" w:hAnsiTheme="majorHAnsi"/>
        </w:rPr>
        <w:t>(</w:t>
      </w:r>
      <w:r>
        <w:rPr>
          <w:rFonts w:asciiTheme="majorHAnsi" w:hAnsiTheme="majorHAnsi"/>
        </w:rPr>
        <w:t>LLC</w:t>
      </w:r>
      <w:r w:rsidRPr="00B76BFE">
        <w:rPr>
          <w:rFonts w:asciiTheme="majorHAnsi" w:hAnsiTheme="majorHAnsi"/>
        </w:rPr>
        <w:t xml:space="preserve">) allows the separation between the actual owner (beneficial owner) and the owner recorded in the company deed (legal owner). A beneficial owner is an individual or entity that directly or indirectly controls a company, even though his or her name may not be listed as a shareholder. </w:t>
      </w:r>
      <w:r>
        <w:rPr>
          <w:rFonts w:asciiTheme="majorHAnsi" w:hAnsiTheme="majorHAnsi"/>
        </w:rPr>
        <w:t xml:space="preserve">LLC </w:t>
      </w:r>
      <w:r w:rsidRPr="00B76BFE">
        <w:rPr>
          <w:rFonts w:asciiTheme="majorHAnsi" w:hAnsiTheme="majorHAnsi"/>
        </w:rPr>
        <w:t xml:space="preserve">are one of the most widely used forms of legal entities in economic activities in Indonesia. As a legal entity, a </w:t>
      </w:r>
      <w:r>
        <w:rPr>
          <w:rFonts w:asciiTheme="majorHAnsi" w:hAnsiTheme="majorHAnsi"/>
        </w:rPr>
        <w:t xml:space="preserve">LLC </w:t>
      </w:r>
      <w:r w:rsidRPr="00B76BFE">
        <w:rPr>
          <w:rFonts w:asciiTheme="majorHAnsi" w:hAnsiTheme="majorHAnsi"/>
        </w:rPr>
        <w:t>has a separate position from its owner, which in law is known as the conce</w:t>
      </w:r>
      <w:r>
        <w:rPr>
          <w:rFonts w:asciiTheme="majorHAnsi" w:hAnsiTheme="majorHAnsi"/>
        </w:rPr>
        <w:t xml:space="preserve"> LLC</w:t>
      </w:r>
      <w:r w:rsidRPr="00B76BFE">
        <w:rPr>
          <w:rFonts w:asciiTheme="majorHAnsi" w:hAnsiTheme="majorHAnsi"/>
        </w:rPr>
        <w:t xml:space="preserve"> of </w:t>
      </w:r>
      <w:r w:rsidRPr="00B76BFE">
        <w:rPr>
          <w:rFonts w:asciiTheme="majorHAnsi" w:hAnsiTheme="majorHAnsi"/>
          <w:i/>
          <w:iCs/>
        </w:rPr>
        <w:t>a separate legal entity</w:t>
      </w:r>
      <w:r w:rsidRPr="00B76BFE">
        <w:rPr>
          <w:rFonts w:asciiTheme="majorHAnsi" w:hAnsiTheme="majorHAnsi"/>
        </w:rPr>
        <w:t xml:space="preserve">. This means that all legal actions taken by the </w:t>
      </w:r>
      <w:r>
        <w:rPr>
          <w:rFonts w:asciiTheme="majorHAnsi" w:hAnsiTheme="majorHAnsi"/>
        </w:rPr>
        <w:t xml:space="preserve">LLC </w:t>
      </w:r>
      <w:r w:rsidRPr="00B76BFE">
        <w:rPr>
          <w:rFonts w:asciiTheme="majorHAnsi" w:hAnsiTheme="majorHAnsi"/>
        </w:rPr>
        <w:t xml:space="preserve">are the responsibility of the </w:t>
      </w:r>
      <w:r>
        <w:rPr>
          <w:rFonts w:asciiTheme="majorHAnsi" w:hAnsiTheme="majorHAnsi"/>
        </w:rPr>
        <w:t xml:space="preserve">LLC </w:t>
      </w:r>
      <w:r w:rsidRPr="00B76BFE">
        <w:rPr>
          <w:rFonts w:asciiTheme="majorHAnsi" w:hAnsiTheme="majorHAnsi"/>
        </w:rPr>
        <w:t>itself, not the personal responsibility of shareholders or beneficial owners</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{"citationItems":[{"id":"ITEM-1","itemData":{"DOI":"10.59593/amlcft.2022.v1i1.28","ISSN":"2963-220X","abstract":"Seiring dengan perkembangan dunia investasi yang berwujud penanaman modal di perseroan terbatas, baik dalam negeri maupun luar negeri, maka konsep pendirian korporasi dengan tidak menampilkan Pemilik Manfaat (Beneficial Owner) atau pemilik modal yang sebenarnya, semakin marak dalam praktik-praktik bisnis. Pemilik Manfaat (Beneficial Owner) dari suatu perusahaan atau korporasi tidak selalu berkaitan dengan perbuatan pencucian uang atau tindak pidana lainnya. Akan tetapi dalam rezim anti pencucian uang, Pemilik Manfaat (Beneficial Owner) ini menjadi perhatian khusus karena seringkali dalam penegakan hukum tindak pidana pencucian uang atau tindak pidana lainnya, para Pemilik Manfaat (Beneficial Owner) ini tidak tersentuh oleh hukum. Tujuan dari penelitian yang dilakukan oleh penulis adalah bagaimana mengidentifikasi pihak-pihak yang dapat dikualifikasikan sebagai Pemilik Manfaat (Beneficial Owner) dan bagaimana pertanggungjawaban pidana dari Pemilik Manfaat (Beneficial Owner) tersebut dalam kejahatan pencucian uang dan kejahatan lainnya. Metode penelitian yang digunakan oleh penulis dalam penelitian ini adalah metode doktrinal dengan pendekatan penelaahan peraturan perundang-undangan, kasus, dan doktrin-doktrin atau pandangan para ahli. Hasil penelitian dalam tulisan ini yaitu bahwa identifikasi siapa Pemilik Manfaat (Beneficial Owner) dari suatu korporasi dapat ditemukan melalui keberadaan atau keterkaitan dalam struktur organisasi dalam korporasi, penelusuran pihak-pihak di luar korporasi yang mengendalikan korporasi, dan penelusuran aliran transaksi keuangan.","author":[{"dropping-particle":"","family":"Syakur","given":"Syahrijal","non-dropping-particle":"","parse-names":false,"suffix":""}],"container-title":"AML/CFT Journal: The Journal of Anti Money Laundering and Countering the Financing Terrorism","id":"ITEM-1","issue":"1","issued":{"date-parts":[["2022"]]},"page":"101-112","title":"Pertanggungjawaban Pidana oleh Pemilik Manfaat (Beneficial Owner) sebagai Pelaku Pencucian Uang dan Kejahatan Lainnya dalam Perseroan Terbatas","type":"article-journal","volume":"1"},"uris":["http://www.mendeley.com/documents/?uuid=5c5615db-0fe7-4b1e-b39d-37eee0e32967"]}],"mendeley":{"formattedCitation":"(Syakur 2022)","plainTextFormattedCitation":"(Syakur 2022)","previouslyFormattedCitation":"(Syakur 2022)"},"properties":{"noteIndex":0},"schema":"https://github.com/citation-style-language/schema/raw/master/csl-citation.json"}</w:instrText>
      </w:r>
      <w:r>
        <w:rPr>
          <w:rFonts w:asciiTheme="majorHAnsi" w:hAnsiTheme="majorHAnsi"/>
        </w:rPr>
        <w:fldChar w:fldCharType="separate"/>
      </w:r>
      <w:r w:rsidRPr="002F4B11">
        <w:rPr>
          <w:rFonts w:asciiTheme="majorHAnsi" w:hAnsiTheme="majorHAnsi"/>
          <w:noProof/>
        </w:rPr>
        <w:t>(Syakur 2022)</w:t>
      </w:r>
      <w:r>
        <w:rPr>
          <w:rFonts w:asciiTheme="majorHAnsi" w:hAnsiTheme="majorHAnsi"/>
        </w:rPr>
        <w:fldChar w:fldCharType="end"/>
      </w:r>
      <w:r>
        <w:rPr>
          <w:rFonts w:asciiTheme="majorHAnsi" w:hAnsiTheme="majorHAnsi"/>
        </w:rPr>
        <w:t>.</w:t>
      </w:r>
    </w:p>
    <w:p w14:paraId="2F832AF3" w14:textId="77777777" w:rsidR="00515C8B" w:rsidRDefault="004B15EE" w:rsidP="00515C8B">
      <w:pPr>
        <w:ind w:firstLine="284"/>
        <w:jc w:val="both"/>
        <w:rPr>
          <w:rFonts w:asciiTheme="majorHAnsi" w:hAnsiTheme="majorHAnsi"/>
        </w:rPr>
      </w:pPr>
      <w:r w:rsidRPr="0035050C">
        <w:rPr>
          <w:rFonts w:asciiTheme="majorHAnsi" w:hAnsiTheme="majorHAnsi"/>
        </w:rPr>
        <w:t xml:space="preserve">Nowadays, corruption crimes do not only occur to civilian officials, military officials who are members of the Indonesian National Army agencies are also involved in many corruption cases. The military is a state-authorized organization empowered to use lethal force in defending the nation from real or perceived threats. The military functions and works as societies with </w:t>
      </w:r>
      <w:r w:rsidRPr="0035050C">
        <w:rPr>
          <w:rFonts w:asciiTheme="majorHAnsi" w:hAnsiTheme="majorHAnsi"/>
          <w:i/>
          <w:iCs/>
        </w:rPr>
        <w:t>societies</w:t>
      </w:r>
      <w:r w:rsidRPr="0035050C">
        <w:rPr>
          <w:rFonts w:asciiTheme="majorHAnsi" w:hAnsiTheme="majorHAnsi"/>
        </w:rPr>
        <w:t>. Just like a military officer who is a member of the military who should be able to maintain the dignity and dignity of himself and the State and not become a corruptor, it will tarnish the dignity of the nation and state. The military has several legal systems, namely discipline, code of ethics and criminality</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{"citationItems":[{"id":"ITEM-1","itemData":{"DOI":"10.22225/ah.2.3.2494.404-408","ISSN":"2716-2672","abstract":"Abstrak—Militer adalah orang yang dididik, dilatih dan dipersiapkan untuk bertempur.Warga Negara Indonesia yang dilantik menjadi Militer dalam melaksanakan tugasnya selain taat kepada nilai pancasila, sapta marga dan sumpah prajurit dituntut untuk selalu taat dan patuh pada semua peraturan-peraturan perundangan yang berlaku khusus bagi Anggota Militer.Anggota Militer yang terbukti melakukan pelanggaran hukum termasuk tindak pidana korupsi harus ditindak sesuai ketentuan hukum yang berlaku.Adapun rumusan masalah (1)Bagaimanakah pemeriksaan Tindak Pidana Korupsi yang dilakukan oleh Anggota Militer? (2)Bagaimanakah kewenangan mengadili Tindak Pidana Korupsi terhadap Anggota Militer? Penelitian ini mempergunakan metode normatif, pendekatan secara perundang-undangan, pendekatan konseptual, bahan hukum primer, bahan hukum sekunder, bahan hukum tersier, studi dokumen, studi kepustakaan, studi internet serta analisis interpretasi hukum dan analisis deskriptif.Proses pemeriksaan pada pengadilan militer sebenarnya sama dengan peradilan umum, tetapi sebutan untuk penyidik dan penuntut umumnya berbeda.Dalammenemukan peradilan mana yang digunakan untuk menangani perkara koneksitas, dapat diliat dari kerugian yang diakibatkan dari perbuatan pidana tersebut.Hakim dalam menjatuhkan hukuman kepada anggota militer yang melakukan tindak pidana korupsi harus sama dengan pelaku pada pengadilan tindak pidana korupsi.\r  ","author":[{"dropping-particle":"","family":"Wijana","given":"Kadek","non-dropping-particle":"","parse-names":false,"suffix":""},{"dropping-particle":"","family":"Sepud","given":"I Made","non-dropping-particle":"","parse-names":false,"suffix":""},{"dropping-particle":"","family":"Dewi","given":"Anak Agung Sagung Laksmi","non-dropping-particle":"","parse-names":false,"suffix":""}],"container-title":"Jurnal Analogi Hukum","id":"ITEM-1","issue":"3","issued":{"date-parts":[["2020"]]},"page":"404-408","title":"Peradilan Tindak Pidana Korupsi Bagi Anggota Militer","type":"article-journal","volume":"2"},"uris":["http://www.mendeley.com/documents/?uuid=3885ef8a-5303-4969-842b-e480bdac0786"]}],"mendeley":{"formattedCitation":"(Wijana, Sepud, and Dewi 2020)","plainTextFormattedCitation":"(Wijana, Sepud, and Dewi 2020)","previouslyFormattedCitation":"(Wijana, Sepud, and Dewi 2020)"},"properties":{"noteIndex":0},"schema":"https://github.com/citation-style-language/schema/raw/master/csl-citation.json"}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(Wijana, Sepud, and Dewi 2020)</w:t>
      </w:r>
      <w:r>
        <w:rPr>
          <w:rFonts w:asciiTheme="majorHAnsi" w:hAnsiTheme="majorHAnsi"/>
        </w:rPr>
        <w:fldChar w:fldCharType="end"/>
      </w:r>
      <w:r w:rsidRPr="0035050C">
        <w:rPr>
          <w:rFonts w:asciiTheme="majorHAnsi" w:hAnsiTheme="majorHAnsi"/>
        </w:rPr>
        <w:t>. The legal system adopted by the military is a different legal system from the civilian legal system</w:t>
      </w:r>
      <w:r w:rsidR="00515C8B">
        <w:rPr>
          <w:rFonts w:asciiTheme="majorHAnsi" w:hAnsiTheme="majorHAnsi"/>
        </w:rPr>
        <w:t>.</w:t>
      </w:r>
    </w:p>
    <w:p w14:paraId="777A099B" w14:textId="77777777" w:rsidR="00515C8B" w:rsidRDefault="004B15EE" w:rsidP="00515C8B">
      <w:pPr>
        <w:ind w:firstLine="284"/>
        <w:jc w:val="both"/>
        <w:rPr>
          <w:rFonts w:asciiTheme="majorHAnsi" w:hAnsiTheme="majorHAnsi"/>
        </w:rPr>
      </w:pPr>
      <w:r w:rsidRPr="0035050C">
        <w:rPr>
          <w:rFonts w:asciiTheme="majorHAnsi" w:hAnsiTheme="majorHAnsi"/>
        </w:rPr>
        <w:t>Military Criminal Law is a form of special criminal law, distinguished by its unique characteristics from general criminal law. Special criminal law is designed for specific legal subjects or particular situations, and therefore contains provisions and principles applicable only to certain subjects. Based on these criteria, Military Criminal Law falls under the category of special criminal law, as it pertains to specific legal subjects and actions that can only be committed by particular individuals. This is explicitly governed by Law Number 31 of 1997 concerning the Military Courts (hereinafter referred to as Law No. 31/1997), which confers jurisdiction upon military tribunals to adjudicate criminal offenses committed by individuals who were members of the Indonesian National Armed Forces (TNI) at the time the offenses were perpetrated. The purpose of this is to ensure that law enforcement and justice within the military adhere to the principles outlined in Law Number 48 of 2009 on Judicial Power, which mandates that the judiciary up hold law and justice based on Pancasila, in alignment with the legal framework of the Republic of Indonesia</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Kata","author":[{"dropping-particle":"","family":"Ramadhani","given":"Putri Rizka","non-dropping-particle":"","parse-names":false,"suffix":""},{"dropping-particle":"","family":"Hutagalung","given":"Shandy Angelica Elizabeth","non-dropping-particle":"","parse-names":false,"suffix":""}],"id":"ITEM-1","issue":"April","issued":{"date-parts":[["2016"]]},"page":"1-23","title":"PENERAPAN PRINSIP MENGENALI PEMILIK MANFAAT PERSEROAN TERBATAS TERTUTUP (STUDI PERBANDINGAN: SINGAPURA DAN INDONESIA)","type":"article-journal","volume":"2"},"uris":["http://www.mendeley.com/documents/?uuid=8166b947-425c-4db4-84ec-6c42ab79b57b"]}],"mendeley":{"formattedCitation":"(Ramadhani and Hutagalung 2016)","plainTextFormattedCitation":"(Ramadhani and Hutagalung 2016)","previouslyFormattedCitation":"(Ramadhani and Hutagalung 2016)"},"properties":{"noteIndex":0},"schema":"https://github.com/citation-style-language/schema/raw/master/csl-citation.json"}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(Ramadhani and Hutagalung 2016)</w:t>
      </w:r>
      <w:r>
        <w:rPr>
          <w:rFonts w:asciiTheme="majorHAnsi" w:hAnsiTheme="majorHAnsi"/>
        </w:rPr>
        <w:fldChar w:fldCharType="end"/>
      </w:r>
      <w:r w:rsidRPr="0035050C">
        <w:rPr>
          <w:rFonts w:asciiTheme="majorHAnsi" w:hAnsiTheme="majorHAnsi"/>
        </w:rPr>
        <w:t>.</w:t>
      </w:r>
    </w:p>
    <w:p w14:paraId="0015321C" w14:textId="77777777" w:rsidR="00515C8B" w:rsidRDefault="004B15EE" w:rsidP="00515C8B">
      <w:pPr>
        <w:ind w:firstLine="284"/>
        <w:jc w:val="both"/>
        <w:rPr>
          <w:rFonts w:asciiTheme="majorHAnsi" w:hAnsiTheme="majorHAnsi"/>
        </w:rPr>
      </w:pPr>
      <w:r w:rsidRPr="0035050C">
        <w:rPr>
          <w:rFonts w:asciiTheme="majorHAnsi" w:hAnsiTheme="majorHAnsi"/>
        </w:rPr>
        <w:t>However, within the Military Justice Law, there are certain provisions that no longer align with societal developments, necessitating changes, particularly concerning the jurisdiction of military courts over TNI members involved in corruption</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{"citationItems":[{"id":"ITEM-1","itemData":{"author":[{"dropping-particle":"","family":"Dewi","given":"Vania Oktaviani","non-dropping-particle":"","parse-names":false,"suffix":""},{"dropping-particle":"","family":"Triadi","given":"Irwan","non-dropping-particle":"","parse-names":false,"suffix":""}],"container-title":"Hakim: Jurnal Ilmu Hukum dan Sosial","id":"ITEM-1","issue":"4","issued":{"date-parts":[["2023"]]},"page":"197","title":"Penyelesaian Tindak Pidana Korupsi oleh Subjek Militer saat sedang Menduduki Jabatan Sipil","type":"article-journal","volume":"1"},"uris":["http://www.mendeley.com/documents/?uuid=025ed573-8690-4680-a441-f2a9a45f0692"]}],"mendeley":{"formattedCitation":"(Dewi and Triadi 2023)","plainTextFormattedCitation":"(Dewi and Triadi 2023)","previouslyFormattedCitation":"(Dewi and Triadi 2023)"},"properties":{"noteIndex":0},"schema":"https://github.com/citation-style-language/schema/raw/master/csl-citation.json"}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(Dewi and Triadi 2023)</w:t>
      </w:r>
      <w:r>
        <w:rPr>
          <w:rFonts w:asciiTheme="majorHAnsi" w:hAnsiTheme="majorHAnsi"/>
        </w:rPr>
        <w:fldChar w:fldCharType="end"/>
      </w:r>
      <w:r w:rsidRPr="0035050C">
        <w:rPr>
          <w:rFonts w:asciiTheme="majorHAnsi" w:hAnsiTheme="majorHAnsi"/>
        </w:rPr>
        <w:t>. Currently, the Military Justice Law grants authority to military courts to prosecute TNI members for military crimes as specified in the law, but not for offenses outside its scope. In practice, however, military courts also handle cases of crimes not explicitly covered by the Military Justice Law, such as prosecuting TNI members for corruption. In these cases, the applicable legal reference used during the trial is Law Number 31 of 1999, as amended by Law Number 20 of 2001, regarding the Eradication of Corruption</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author":[{"dropping-particle":"","family":"Hukum","given":"Fakultas","non-dropping-particle":"","parse-names":false,"suffix":""},{"dropping-particle":"","family":"Cokroaminoto","given":"Universitas","non-dropping-particle":"","parse-names":false,"suffix":""}],"id":"ITEM-1","issue":"Vii","issued":{"date-parts":[["0"]]},"title":"MENGADILI TINDAK PIDANA KORUPSI YANG DILAKUKAN OLEH ANGGOTA MILITER BERSAMA-SAMA DENGAN ORANG SIPIL Jalan Perintis Kemerdekaan , Kec . Umbulharjo , Kota Yogyakarta , Email : edy36013@gmail.com","type":"article-journal"},"uris":["http://www.mendeley.com/documents/?uuid=0b6a106a-fdf4-4ed0-9ad5-957308fa3aed"]}],"mendeley":{"formattedCitation":"(Hukum and Cokroaminoto n.d.)","plainTextFormattedCitation":"(Hukum and Cokroaminoto n.d.)","previouslyFormattedCitation":"(Hukum and Cokroaminoto n.d.)"},"properties":{"noteIndex":0},"schema":"https://github.com/citation-style-language/schema/raw/master/csl-citation.json"}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(Hukum and Cokroaminoto n.d.)</w:t>
      </w:r>
      <w:r>
        <w:rPr>
          <w:rFonts w:asciiTheme="majorHAnsi" w:hAnsiTheme="majorHAnsi"/>
        </w:rPr>
        <w:fldChar w:fldCharType="end"/>
      </w:r>
      <w:r w:rsidRPr="0035050C">
        <w:rPr>
          <w:rFonts w:asciiTheme="majorHAnsi" w:hAnsiTheme="majorHAnsi"/>
        </w:rPr>
        <w:t>.</w:t>
      </w:r>
    </w:p>
    <w:p w14:paraId="48F03EC4" w14:textId="77777777" w:rsidR="00515C8B" w:rsidRDefault="004B15EE" w:rsidP="00515C8B">
      <w:pPr>
        <w:ind w:firstLine="284"/>
        <w:jc w:val="both"/>
        <w:rPr>
          <w:rFonts w:asciiTheme="majorHAnsi" w:hAnsiTheme="majorHAnsi"/>
        </w:rPr>
      </w:pPr>
      <w:r w:rsidRPr="0035050C">
        <w:rPr>
          <w:rFonts w:asciiTheme="majorHAnsi" w:hAnsiTheme="majorHAnsi"/>
        </w:rPr>
        <w:t>For example, the case of corruption in the procurement of the main equipment of the weapon system (hereinafter referred to as Alutsista). Case of corruption in the military domain involving active TNI officers is the case of the convicted Brigadier General of the TNI (Retired) Teddy Hernayadi when he served as the head of the Financing Implementation Division of the Ministry of Defense at the Ministry of Defense (Kemenhan) 2010-2014. Teddy was rewarded with almost the same sentence from the Jakarta Military Court II, the court of first instance to the cassation at the Supreme Court (MA), namely life imprisonment. The case of alleged corruption in the procurement of Agusta Westland 101 (AW-101) VVIP helicopters worth Rp 738 billion in the 2016 fiscal year at the Indonesian Air Force in 2016-2017. The KPK has named Irfan Kurnia Saleh as a suspect. Meanwhile, Puspom has named four suspects. First, Deputy Governor of the Air Force Academy First Marshal Fachri Adamy as a suspect. The appointment of Fachri in his capacity as a commitment-making official or Chief of Procurement Staff of the Indonesian Air Force 2016-2017. Conventional law enforcement in combating corruption has encountered numerous challenges, particularly in addressing corruption within the armed forces. Therefore, an extraordinary approach is required, involving the establishment of a special body with extensive authority, independence, and freedom from external influence. This body would focus on eradicating corruption in a manner that is optimal, intensive, effective, professional, and sustained. Based on the school of positivism, the law teaches that the law arises from an authorized power. Authority here in the sense of competence</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{"citationItems":[{"id":"ITEM-1","itemData":{"author":[{"dropping-particle":"","family":"Badu","given":"Lisnawaty W","non-dropping-particle":"","parse-names":false,"suffix":""},{"dropping-particle":"","family":"Apripari","given":"","non-dropping-particle":"","parse-names":false,"suffix":""}],"container-title":"Jurnal Legalitas","id":"ITEM-1","issue":"1","issued":{"date-parts":[["2022"]]},"page":"57-81","title":"Menggagas Tindak Pidana Militer Sebagai Kompetensi Absolut Peradilan Militer Dalam Perkara Pidana \"Initiating Military Criminal Acts As A Competence Of Military Justice Absolute In Criminal Crime\"","type":"article-journal","volume":"12"},"uris":["http://www.mendeley.com/documents/?uuid=7583ddbe-a638-4bdb-802d-688e3f7123bc"]}],"mendeley":{"formattedCitation":"(Badu and Apripari 2022)","plainTextFormattedCitation":"(Badu and Apripari 2022)","previouslyFormattedCitation":"(Badu and Apripari 2022)"},"properties":{"noteIndex":0},"schema":"https://github.com/citation-style-language/schema/raw/master/csl-citation.json"}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(Badu and Apripari 2022)</w:t>
      </w:r>
      <w:r>
        <w:rPr>
          <w:rFonts w:asciiTheme="majorHAnsi" w:hAnsiTheme="majorHAnsi"/>
        </w:rPr>
        <w:fldChar w:fldCharType="end"/>
      </w:r>
      <w:r w:rsidRPr="0035050C">
        <w:rPr>
          <w:rFonts w:asciiTheme="majorHAnsi" w:hAnsiTheme="majorHAnsi"/>
        </w:rPr>
        <w:t>.</w:t>
      </w:r>
    </w:p>
    <w:p w14:paraId="3777F271" w14:textId="0F9CA99A" w:rsidR="00515C8B" w:rsidRDefault="004B15EE" w:rsidP="00515C8B">
      <w:pPr>
        <w:ind w:firstLine="284"/>
        <w:jc w:val="both"/>
        <w:rPr>
          <w:rFonts w:asciiTheme="majorHAnsi" w:hAnsiTheme="majorHAnsi"/>
        </w:rPr>
      </w:pPr>
      <w:r w:rsidRPr="0035050C">
        <w:rPr>
          <w:rFonts w:asciiTheme="majorHAnsi" w:hAnsiTheme="majorHAnsi"/>
        </w:rPr>
        <w:lastRenderedPageBreak/>
        <w:t>The extraordinary authority possessed by the KPK institution in tackling corruption crimes has reaped pros and cons in various circles, one of which is related to the authority of the KPK in investigating corruption in the procurement of defense equipment involving TNI personnel in conflict with the oath of soldiers who must maintain secrecy and obey their superiors and the Military Justice Law</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author":[{"dropping-particle":"","family":"Hukum","given":"Fakultas","non-dropping-particle":"","parse-names":false,"suffix":""},{"dropping-particle":"","family":"Cokroaminoto","given":"Universitas","non-dropping-particle":"","parse-names":false,"suffix":""}],"id":"ITEM-1","issue":"Vii","issued":{"date-parts":[["0"]]},"title":"MENGADILI TINDAK PIDANA KORUPSI YANG DILAKUKAN OLEH ANGGOTA MILITER BERSAMA-SAMA DENGAN ORANG SIPIL Jalan Perintis Kemerdekaan , Kec . Umbulharjo , Kota Yogyakarta , Email : edy36013@gmail.com","type":"article-journal"},"uris":["http://www.mendeley.com/documents/?uuid=0b6a106a-fdf4-4ed0-9ad5-957308fa3aed"]}],"mendeley":{"formattedCitation":"(Hukum and Cokroaminoto n.d.)","plainTextFormattedCitation":"(Hukum and Cokroaminoto n.d.)","previouslyFormattedCitation":"(Hukum and Cokroaminoto n.d.)"},"properties":{"noteIndex":0},"schema":"https://github.com/citation-style-language/schema/raw/master/csl-citation.json"}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(Hukum and Cokroaminoto n.d.)</w:t>
      </w:r>
      <w:r>
        <w:rPr>
          <w:rFonts w:asciiTheme="majorHAnsi" w:hAnsiTheme="majorHAnsi"/>
        </w:rPr>
        <w:fldChar w:fldCharType="end"/>
      </w:r>
      <w:r w:rsidRPr="0035050C">
        <w:rPr>
          <w:rFonts w:asciiTheme="majorHAnsi" w:hAnsiTheme="majorHAnsi"/>
        </w:rPr>
        <w:t>. Based on the provisions of Article 9 paragraph (1) of Law Number 31 of 1997 concerning Military Courts, it reads "Courts within the military court have the authority to judge criminal acts carried out by an individual at the time of their commission. the criminal act was a soldier".</w:t>
      </w:r>
    </w:p>
    <w:p w14:paraId="63D3C515" w14:textId="77777777" w:rsidR="00515C8B" w:rsidRDefault="004B15EE" w:rsidP="00515C8B">
      <w:pPr>
        <w:ind w:firstLine="284"/>
        <w:jc w:val="both"/>
        <w:rPr>
          <w:rFonts w:asciiTheme="majorHAnsi" w:hAnsiTheme="majorHAnsi"/>
        </w:rPr>
      </w:pPr>
      <w:r w:rsidRPr="0035050C">
        <w:rPr>
          <w:rFonts w:asciiTheme="majorHAnsi" w:hAnsiTheme="majorHAnsi"/>
        </w:rPr>
        <w:t>Corruption crimes involving TNI Soldiers So far, in the military criminal justice system, the right to conduct investigations, investigations, and prosecutions comes from within the military itself, namely the Military Police (POM) and/or through connection investigations. This system requires collaboration between civil law enforcement (KPK) and the military. In such conditions, the KPK is often inferior to the military, especially in the process of investigation, investigation and prosecution. In this connectivity system, the KPK institution in investigating corruption cases in the TNI often has a minimal role</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{"citationItems":[{"id":"ITEM-1","itemData":{"author":[{"dropping-particle":"","family":"Badu","given":"Lisnawaty W","non-dropping-particle":"","parse-names":false,"suffix":""},{"dropping-particle":"","family":"Apripari","given":"","non-dropping-particle":"","parse-names":false,"suffix":""}],"container-title":"Jurnal Legalitas","id":"ITEM-1","issue":"1","issued":{"date-parts":[["2022"]]},"page":"57-81","title":"Menggagas Tindak Pidana Militer Sebagai Kompetensi Absolut Peradilan Militer Dalam Perkara Pidana \"Initiating Military Criminal Acts As A Competence Of Military Justice Absolute In Criminal Crime\"","type":"article-journal","volume":"12"},"uris":["http://www.mendeley.com/documents/?uuid=7583ddbe-a638-4bdb-802d-688e3f7123bc"]}],"mendeley":{"formattedCitation":"(Badu and Apripari 2022)","plainTextFormattedCitation":"(Badu and Apripari 2022)","previouslyFormattedCitation":"(Badu and Apripari 2022)"},"properties":{"noteIndex":0},"schema":"https://github.com/citation-style-language/schema/raw/master/csl-citation.json"}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(Badu and Apripari 2022)</w:t>
      </w:r>
      <w:r>
        <w:rPr>
          <w:rFonts w:asciiTheme="majorHAnsi" w:hAnsiTheme="majorHAnsi"/>
        </w:rPr>
        <w:fldChar w:fldCharType="end"/>
      </w:r>
      <w:r w:rsidRPr="0035050C">
        <w:rPr>
          <w:rFonts w:asciiTheme="majorHAnsi" w:hAnsiTheme="majorHAnsi"/>
        </w:rPr>
        <w:t>.</w:t>
      </w:r>
    </w:p>
    <w:p w14:paraId="53A80365" w14:textId="18F400EA" w:rsidR="004B15EE" w:rsidRPr="0035050C" w:rsidRDefault="004B15EE" w:rsidP="00515C8B">
      <w:pPr>
        <w:ind w:firstLine="284"/>
        <w:jc w:val="both"/>
        <w:rPr>
          <w:rFonts w:asciiTheme="majorHAnsi" w:hAnsiTheme="majorHAnsi"/>
        </w:rPr>
      </w:pPr>
      <w:r w:rsidRPr="0035050C">
        <w:rPr>
          <w:rFonts w:asciiTheme="majorHAnsi" w:hAnsiTheme="majorHAnsi"/>
        </w:rPr>
        <w:t>This regulation is of course more specifically applied to TNI soldiers where the laws and regulations in question are harsher and heavier in addition to the existing general laws and regulations. The special laws and regulations are the Military Criminal Law and the Military Criminal Procedure Law. Both laws are classified as special laws that are specifically applicable to a certain group TNI, or to specific individuals, as outlined in the corresponding regulations. Article 1 of the Criminal Code reads: the application of this Code, general criminal provisions apply, including Chapter Nine of the first book of the Criminal Code, unless there are irregularities stipulated by the Law. The presence of military criminal law does not imply that general criminal law is inapplicable to the military. Instead, both general criminal law and military criminal law apply to military personnel. If viewed from a justifiable point of view, in this case the military and the equivalent, the Military Criminal Law is one of the criminal laws that specifically applies to the military and that is equated in addition to the application of other criminal laws, both general and special</w:t>
      </w:r>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{"citationItems":[{"id":"ITEM-1","itemData":{"DOI":"10.22225/ah.2.3.2494.404-408","ISSN":"2716-2672","abstract":"Abstrak—Militer adalah orang yang dididik, dilatih dan dipersiapkan untuk bertempur.Warga Negara Indonesia yang dilantik menjadi Militer dalam melaksanakan tugasnya selain taat kepada nilai pancasila, sapta marga dan sumpah prajurit dituntut untuk selalu taat dan patuh pada semua peraturan-peraturan perundangan yang berlaku khusus bagi Anggota Militer.Anggota Militer yang terbukti melakukan pelanggaran hukum termasuk tindak pidana korupsi harus ditindak sesuai ketentuan hukum yang berlaku.Adapun rumusan masalah (1)Bagaimanakah pemeriksaan Tindak Pidana Korupsi yang dilakukan oleh Anggota Militer? (2)Bagaimanakah kewenangan mengadili Tindak Pidana Korupsi terhadap Anggota Militer? Penelitian ini mempergunakan metode normatif, pendekatan secara perundang-undangan, pendekatan konseptual, bahan hukum primer, bahan hukum sekunder, bahan hukum tersier, studi dokumen, studi kepustakaan, studi internet serta analisis interpretasi hukum dan analisis deskriptif.Proses pemeriksaan pada pengadilan militer sebenarnya sama dengan peradilan umum, tetapi sebutan untuk penyidik dan penuntut umumnya berbeda.Dalammenemukan peradilan mana yang digunakan untuk menangani perkara koneksitas, dapat diliat dari kerugian yang diakibatkan dari perbuatan pidana tersebut.Hakim dalam menjatuhkan hukuman kepada anggota militer yang melakukan tindak pidana korupsi harus sama dengan pelaku pada pengadilan tindak pidana korupsi.\r  ","author":[{"dropping-particle":"","family":"Wijana","given":"Kadek","non-dropping-particle":"","parse-names":false,"suffix":""},{"dropping-particle":"","family":"Sepud","given":"I Made","non-dropping-particle":"","parse-names":false,"suffix":""},{"dropping-particle":"","family":"Dewi","given":"Anak Agung Sagung Laksmi","non-dropping-particle":"","parse-names":false,"suffix":""}],"container-title":"Jurnal Analogi Hukum","id":"ITEM-1","issue":"3","issued":{"date-parts":[["2020"]]},"page":"404-408","title":"Peradilan Tindak Pidana Korupsi Bagi Anggota Militer","type":"article-journal","volume":"2"},"uris":["http://www.mendeley.com/documents/?uuid=3885ef8a-5303-4969-842b-e480bdac0786"]}],"mendeley":{"formattedCitation":"(Wijana et al. 2020)","plainTextFormattedCitation":"(Wijana et al. 2020)","previouslyFormattedCitation":"(Wijana et al. 2020)"},"properties":{"noteIndex":0},"schema":"https://github.com/citation-style-language/schema/raw/master/csl-citation.json"}</w:instrText>
      </w:r>
      <w:r>
        <w:rPr>
          <w:rFonts w:asciiTheme="majorHAnsi" w:hAnsiTheme="majorHAnsi"/>
        </w:rPr>
        <w:fldChar w:fldCharType="separate"/>
      </w:r>
      <w:r w:rsidRPr="007A2371">
        <w:rPr>
          <w:rFonts w:asciiTheme="majorHAnsi" w:hAnsiTheme="majorHAnsi"/>
          <w:noProof/>
        </w:rPr>
        <w:t>(Wijana et al. 2020)</w:t>
      </w:r>
      <w:r>
        <w:rPr>
          <w:rFonts w:asciiTheme="majorHAnsi" w:hAnsiTheme="majorHAnsi"/>
        </w:rPr>
        <w:fldChar w:fldCharType="end"/>
      </w:r>
      <w:r w:rsidRPr="0035050C">
        <w:rPr>
          <w:rFonts w:asciiTheme="majorHAnsi" w:hAnsiTheme="majorHAnsi"/>
        </w:rPr>
        <w:t xml:space="preserve">. </w:t>
      </w:r>
    </w:p>
    <w:p w14:paraId="37B5A6FA" w14:textId="77777777" w:rsidR="00D9191F" w:rsidRDefault="00D9191F" w:rsidP="00CA69D1">
      <w:pPr>
        <w:rPr>
          <w:rFonts w:asciiTheme="majorHAnsi" w:hAnsiTheme="majorHAnsi"/>
          <w:lang w:val="id-ID"/>
        </w:rPr>
      </w:pPr>
    </w:p>
    <w:p w14:paraId="1E102693" w14:textId="665721B9" w:rsidR="00425F0C" w:rsidRPr="00344055" w:rsidRDefault="00425F0C" w:rsidP="00425F0C">
      <w:pPr>
        <w:ind w:left="284" w:hanging="284"/>
        <w:rPr>
          <w:rFonts w:ascii="Cambria" w:hAnsi="Cambria"/>
          <w:b/>
          <w:bCs/>
          <w:sz w:val="24"/>
          <w:szCs w:val="24"/>
          <w:lang w:val="id-ID"/>
        </w:rPr>
      </w:pPr>
      <w:r w:rsidRPr="00344055">
        <w:rPr>
          <w:rFonts w:ascii="Cambria" w:hAnsi="Cambria"/>
          <w:b/>
          <w:bCs/>
          <w:sz w:val="24"/>
          <w:szCs w:val="24"/>
          <w:lang w:val="id-ID"/>
        </w:rPr>
        <w:t>Materials and Methods</w:t>
      </w:r>
    </w:p>
    <w:p w14:paraId="6CA487FA" w14:textId="77777777" w:rsidR="00425F0C" w:rsidRDefault="00425F0C" w:rsidP="00425F0C">
      <w:pPr>
        <w:ind w:left="284" w:firstLine="284"/>
        <w:jc w:val="both"/>
        <w:rPr>
          <w:rFonts w:asciiTheme="majorHAnsi" w:hAnsiTheme="majorHAnsi"/>
          <w:lang w:val="id-ID"/>
        </w:rPr>
      </w:pPr>
    </w:p>
    <w:p w14:paraId="1E23065B" w14:textId="7493D4F5" w:rsidR="00515C8B" w:rsidRPr="00515C8B" w:rsidRDefault="00515C8B" w:rsidP="00515C8B">
      <w:pPr>
        <w:ind w:firstLine="284"/>
        <w:jc w:val="both"/>
        <w:rPr>
          <w:rFonts w:asciiTheme="majorHAnsi" w:hAnsiTheme="majorHAnsi"/>
        </w:rPr>
      </w:pPr>
      <w:r w:rsidRPr="00515C8B">
        <w:rPr>
          <w:rFonts w:asciiTheme="majorHAnsi" w:eastAsia="Cambria" w:hAnsiTheme="majorHAnsi" w:cs="Cambria"/>
        </w:rPr>
        <w:t xml:space="preserve">This study employs a normative juridical method, utilizing both a conceptual approach and a statutory approach. The normative juridical method focuses on analyzing legal principles, rules, and doctrines as they are outlined in legislation and relevant legal texts. The conceptual approach is used to explore the theoretical framework and underlying legal concepts, while the statutory approach examines the specific laws and regulations governing the issue under study. Together, these approaches provide a comprehensive analysis of the legal aspects of the topic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{"citationItems":[{"id":"ITEM-1","itemData":{"author":[{"dropping-particle":"","family":"Peter Mahmud Marzuki","given":"","non-dropping-particle":"","parse-names":false,"suffix":""}],"id":"ITEM-1","issued":{"date-parts":[["2016"]]},"title":"Metode Penelitian Hukum","type":"book"},"uris":["http://www.mendeley.com/documents/?uuid=175001e5-0403-3ccd-8807-be599c66c380"]}],"mendeley":{"formattedCitation":"(Peter Mahmud Marzuki 2016)","plainTextFormattedCitation":"(Peter Mahmud Marzuki 2016)","previouslyFormattedCitation":"(Peter Mahmud Marzuki 2016)"},"properties":{"noteIndex":0},"schema":"https://github.com/citation-style-language/schema/raw/master/csl-citation.json"}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(Peter Mahmud Marzuki 2016)</w:t>
      </w:r>
      <w:r w:rsidRPr="00515C8B">
        <w:rPr>
          <w:rFonts w:asciiTheme="majorHAnsi" w:eastAsia="Cambria" w:hAnsiTheme="majorHAnsi" w:cs="Cambria"/>
        </w:rPr>
        <w:fldChar w:fldCharType="end"/>
      </w:r>
      <w:r w:rsidRPr="00515C8B">
        <w:rPr>
          <w:rFonts w:asciiTheme="majorHAnsi" w:eastAsia="Cambria" w:hAnsiTheme="majorHAnsi" w:cs="Cambria"/>
        </w:rPr>
        <w:t>.</w:t>
      </w:r>
    </w:p>
    <w:p w14:paraId="79E0827B" w14:textId="77777777" w:rsidR="00CA69D1" w:rsidRDefault="00CA69D1" w:rsidP="00515C8B">
      <w:pPr>
        <w:spacing w:line="276" w:lineRule="auto"/>
        <w:jc w:val="both"/>
        <w:rPr>
          <w:rFonts w:ascii="Cambria" w:eastAsia="Cambria" w:hAnsi="Cambria" w:cs="Cambria"/>
          <w:color w:val="0000CC"/>
        </w:rPr>
      </w:pPr>
    </w:p>
    <w:p w14:paraId="376030B0" w14:textId="4A037CB9" w:rsidR="00425F0C" w:rsidRPr="00344055" w:rsidRDefault="00425F0C" w:rsidP="00AE649C">
      <w:pPr>
        <w:ind w:left="284" w:hanging="284"/>
        <w:rPr>
          <w:rFonts w:ascii="Cambria" w:hAnsi="Cambria"/>
          <w:b/>
          <w:bCs/>
          <w:sz w:val="24"/>
          <w:szCs w:val="24"/>
        </w:rPr>
      </w:pPr>
      <w:r w:rsidRPr="00344055">
        <w:rPr>
          <w:rFonts w:ascii="Cambria" w:hAnsi="Cambria"/>
          <w:b/>
          <w:bCs/>
          <w:sz w:val="24"/>
          <w:szCs w:val="24"/>
          <w:lang w:val="id-ID"/>
        </w:rPr>
        <w:t xml:space="preserve">Results </w:t>
      </w:r>
      <w:r w:rsidRPr="00344055">
        <w:rPr>
          <w:rFonts w:ascii="Cambria" w:hAnsi="Cambria"/>
          <w:b/>
          <w:bCs/>
          <w:sz w:val="24"/>
          <w:szCs w:val="24"/>
        </w:rPr>
        <w:t>a</w:t>
      </w:r>
      <w:r w:rsidRPr="00344055">
        <w:rPr>
          <w:rFonts w:ascii="Cambria" w:hAnsi="Cambria"/>
          <w:b/>
          <w:bCs/>
          <w:sz w:val="24"/>
          <w:szCs w:val="24"/>
          <w:lang w:val="id-ID"/>
        </w:rPr>
        <w:t xml:space="preserve">nd </w:t>
      </w:r>
      <w:r w:rsidRPr="00344055">
        <w:rPr>
          <w:rFonts w:ascii="Cambria" w:hAnsi="Cambria"/>
          <w:b/>
          <w:bCs/>
          <w:sz w:val="24"/>
          <w:szCs w:val="24"/>
        </w:rPr>
        <w:t>Discussions</w:t>
      </w:r>
    </w:p>
    <w:p w14:paraId="316D9BB8" w14:textId="74C7BA16" w:rsidR="00515C8B" w:rsidRPr="004E6CBB" w:rsidRDefault="00515C8B" w:rsidP="000245FE">
      <w:pPr>
        <w:spacing w:before="120" w:after="120"/>
        <w:jc w:val="both"/>
        <w:rPr>
          <w:rFonts w:asciiTheme="majorHAnsi" w:hAnsiTheme="majorHAnsi"/>
          <w:b/>
          <w:bCs/>
        </w:rPr>
      </w:pPr>
      <w:r w:rsidRPr="004E6CBB">
        <w:rPr>
          <w:rFonts w:asciiTheme="majorHAnsi" w:hAnsiTheme="majorHAnsi"/>
          <w:b/>
          <w:bCs/>
        </w:rPr>
        <w:t>Procedures for Addressing Corruption in the Procurement of Goods and Services in Military Courts</w:t>
      </w:r>
    </w:p>
    <w:p w14:paraId="459950CE"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Corruption in the procurement of goods and services sector is a serious problem in various institutions, including in the military environment. The procurement in the military context has different characteristics from procurement in other public sectors because it involves strategic goods, military equipment, and is often related to state security. This makes transparency in the procurement process often limited by security reasons, which in turn creates opportunities for abuse of authority and corruption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{"citationItems":[{"id":"ITEM-1","itemData":{"author":[{"dropping-particle":"","family":"Pakasi","given":"Dean Raphael","non-dropping-particle":"","parse-names":false,"suffix":""},{"dropping-particle":"","family":"Aling","given":"Daniel Franzel","non-dropping-particle":"","parse-names":false,"suffix":""}],"container-title":"Lex_Privatum","id":"ITEM-1","issued":{"date-parts":[["2013"]]},"title":"PENINDAKAN HUKUM TENTANG TINDAK PIDANA KORUPSI OLEH MILITER YANG MENDUDUKI JABATAN SIPIL","type":"article-journal","volume":"1"},"uris":["http://www.mendeley.com/documents/?uuid=3cf11581-1a1e-4c65-85bb-fe122cdfddb7"]}],"mendeley":{"formattedCitation":"(Pakasi and Aling 2013)","plainTextFormattedCitation":"(Pakasi and Aling 2013)","previouslyFormattedCitation":"(Pakasi and Aling 2013)"},"properties":{"noteIndex":0},"schema":"https://github.com/citation-style-language/schema/raw/master/csl-citation.json"}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(Pakasi and Aling 2013)</w:t>
      </w:r>
      <w:r w:rsidRPr="00515C8B">
        <w:rPr>
          <w:rFonts w:asciiTheme="majorHAnsi" w:eastAsia="Cambria" w:hAnsiTheme="majorHAnsi" w:cs="Cambria"/>
        </w:rPr>
        <w:fldChar w:fldCharType="end"/>
      </w:r>
      <w:r w:rsidRPr="00515C8B">
        <w:rPr>
          <w:rFonts w:asciiTheme="majorHAnsi" w:eastAsia="Cambria" w:hAnsiTheme="majorHAnsi" w:cs="Cambria"/>
        </w:rPr>
        <w:t>.</w:t>
      </w:r>
    </w:p>
    <w:p w14:paraId="7DD3BA7D"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In the military environment, cases of corruption in the acquisition of goods and services can occur at various levels, ranging from officials who have the authority to enter into contracts, suppliers involved in procurement, to military personnel who act as project supervisors. The most common forms of corruption in this case include price inflation, tender manipulation, procurement of fictitious goods, and bribery to officials involved in the selection process of vendors or contractors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{"citationItems":[{"id":"ITEM-1","itemData":{"DOI":"10.32503/mizan.v8i1.495","ISSN":"2301-7295","abstract":"Penggunaan teknologi internet juga tidak dapat dipungkiri membawa dampak negatif yang tidak kalah banyak dengan manfaat positif yang ada. Internet dapat menimbulkan kejahatan seperti pengancaman, pencurian, pencemaran nama baik, pornografi, perjudian, penipuan hingga tindak pidana terorisme. Melalui media internet beberapa jenis tindak pidana tersebut dapat dilakukan secara online oleh individu maupun kelompok dengan resiko tertangkap yang sangat kecil dengan akibat kerugian yang lebih besar baik untuk masyarakat  maupun negara. Fenomena tindak pidana teknologi informasi merupakan bentuk kejahatan yang relatif baru apabila dibandingkan dengan bentuk-bentuk kejahatan lain yang sifatnya konvensional.\r Hasil penelitian menunjukkan bahwa Modus operandi yang dilakukan oleh pelaku tindak pencemaran nama baik melalui media sosial, merupakan salah satu cerminan bahwa masyarakat Indonesia belum memahami makna penggunaan media sosial secara baik dan bertanggung jawab. Selain mempunyai hak kita juga harus mengetahui kewajiban apa saja yang harus kita laksanakan sebelum mendapatkan hak tersebut, sama halnya dengan menggunakan media sosial, penggunaan media sosial merupakan hak tiap-tiap masyarakat pada saat ini, namun sebagai penggunanya tentu kita juga harus mengetahui kewajiban untuk mengharagai orang lain. Banyaknya modus operandi yang digunaan oleh pelaku cyber crime, maka perlunya kehati-hatian dalam menggunakan media sosial agar kita tidak menjadi salah satu dari pelaku yang dapat merugikan orang banyak. Dalam Undang-Undang Nomor 11 Tahun 2008 tentang Informasi dan Transaksi Elektronik, tidak diatur secara jelas memahami batasan dalam kebebasan berpendapat. Jika kita melihat impelementasinya seakan-akan diatur, maka jelas bahwa kita benar-benar membutuhkan aturan yang baru tentang tindak pidana pencemaran nama baik dalam undang-undang Informasi dan Transaksi Elektronik. Bagi masyarakat harus lebih mehami arti kebebasan berpendapat yang diberikan oleh negara, dan menggunakan kebebasan tersebut dengan bertanggung jawab. Bukan untuk membatasi kebebasan tersebut melainkan untuk memberi peringatan atau tindakan Preventif bagi masyarakat agar lebih berhati-hati dalam menggunakan media sosial dalam berkomunikasi dan memberikan tindakan Represif bagi pelaku tindak pidana pencemaran nama baik melalui media sosial.","author":[{"dropping-particle":"","family":"Sutrisno","given":"Bambang","non-dropping-particle":"","parse-names":false,"suffix":""},{"dropping-particle":"","family":"Paksa","given":"FX Bhirawa Braja","non-dropping-particle":"","parse-names":false,"suffix":""}],"container-title":"MIZAN, Jurnal Ilmu Hukum","id":"ITEM-1","issue":"1","issued":{"date-parts":[["2019"]]},"page":"20","title":"Penegakan Hukum Terhadap Tindak Pidana Pencemaran Nama Baik Menurut Pasal 27 Ayat (3) Undang-Undang Nomor 11 Tahun 2008 Tentang Informasi Dan Transaksi Elektronik (Uu Ite)","type":"article-journal","volume":"8"},"uris":["http://www.mendeley.com/documents/?uuid=df599f54-b7d7-4572-b154-60c232ef3532"]}],"mendeley":{"formattedCitation":"(Sutrisno and Paksa 2019)","plainTextFormattedCitation":"(Sutrisno and Paksa 2019)","previouslyFormattedCitation":"(Sutrisno and Paksa 2019)"},"properties":{"noteIndex":0},"schema":"https://github.com/citation-style-language/schema/raw/master/csl-citation.json"}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(Sutrisno and Paksa 2019)</w:t>
      </w:r>
      <w:r w:rsidRPr="00515C8B">
        <w:rPr>
          <w:rFonts w:asciiTheme="majorHAnsi" w:eastAsia="Cambria" w:hAnsiTheme="majorHAnsi" w:cs="Cambria"/>
        </w:rPr>
        <w:fldChar w:fldCharType="end"/>
      </w:r>
      <w:r w:rsidRPr="00515C8B">
        <w:rPr>
          <w:rFonts w:asciiTheme="majorHAnsi" w:eastAsia="Cambria" w:hAnsiTheme="majorHAnsi" w:cs="Cambria"/>
        </w:rPr>
        <w:t>.</w:t>
      </w:r>
    </w:p>
    <w:p w14:paraId="0CF971FD"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One of the biggest challenges in tackling corruption in procurement of military goods and services sector is the limited access of the public and media to information related to military procurement projects. The procurement process of strategic goods is often carried out under strict supervision, under the pretext of maintaining state secrecy and national security. On the one hand, the protection of sensitive information is indeed important to maintain the stability and security of the country, but on the other hand, the lack of </w:t>
      </w:r>
      <w:r w:rsidRPr="00515C8B">
        <w:rPr>
          <w:rFonts w:asciiTheme="majorHAnsi" w:eastAsia="Cambria" w:hAnsiTheme="majorHAnsi" w:cs="Cambria"/>
        </w:rPr>
        <w:lastRenderedPageBreak/>
        <w:t xml:space="preserve">transparency can be used by certain parties to commit acts of corruption without being detected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{"citationItems":[{"id":"ITEM-1","itemData":{"author":[{"dropping-particle":"","family":"Pakasi","given":"Dean Raphael","non-dropping-particle":"","parse-names":false,"suffix":""},{"dropping-particle":"","family":"Aling","given":"Daniel Franzel","non-dropping-particle":"","parse-names":false,"suffix":""}],"container-title":"Lex_Privatum","id":"ITEM-1","issued":{"date-parts":[["2013"]]},"title":"PENINDAKAN HUKUM TENTANG TINDAK PIDANA KORUPSI OLEH MILITER YANG MENDUDUKI JABATAN SIPIL","type":"article-journal","volume":"1"},"uris":["http://www.mendeley.com/documents/?uuid=3cf11581-1a1e-4c65-85bb-fe122cdfddb7"]}],"mendeley":{"formattedCitation":"(Pakasi and Aling 2013)","plainTextFormattedCitation":"(Pakasi and Aling 2013)","previouslyFormattedCitation":"(Pakasi and Aling 2013)"},"properties":{"noteIndex":0},"schema":"https://github.com/citation-style-language/schema/raw/master/csl-citation.json"}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(Pakasi and Aling 2013)</w:t>
      </w:r>
      <w:r w:rsidRPr="00515C8B">
        <w:rPr>
          <w:rFonts w:asciiTheme="majorHAnsi" w:eastAsia="Cambria" w:hAnsiTheme="majorHAnsi" w:cs="Cambria"/>
        </w:rPr>
        <w:fldChar w:fldCharType="end"/>
      </w:r>
      <w:r w:rsidRPr="00515C8B">
        <w:rPr>
          <w:rFonts w:asciiTheme="majorHAnsi" w:eastAsia="Cambria" w:hAnsiTheme="majorHAnsi" w:cs="Cambria"/>
        </w:rPr>
        <w:t>.</w:t>
      </w:r>
    </w:p>
    <w:p w14:paraId="29B6EB3F"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Not only does it cause financial losses for the country, but it also has the potential to reduce the effectiveness of national defense. For example, the procurement of weapons or military equipment that does not meet the standards or the price marked up will reduce the quality and quantity of equipment that should be used to protect the country. As a result, this can have an impact on the readiness and professionalism of the army in carrying out defense duties.</w:t>
      </w:r>
    </w:p>
    <w:p w14:paraId="60E2872F"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Furthermore, the existence of military personnel involved in corruption also damages the image of military in the eyes of the public. Military institutions that should be upheld as the guardian of state security can lose public trust if allowed to be involved in corruption scandals. Therefore, it is important to maintain the integrity of military institutions through the strict and fair application of laws for corrupt actors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{"citationItems":[{"id":"ITEM-1","itemData":{"DOI":"10.14710/lr.v15i1.23356","ISSN":"25808508","abstract":"Corruption crimes have caused destruction to the nation's economy. This article aims to examine the role of the community in efforts to prevent and eradicate corruption. The research method in this article is normative legal research that is prescriptive analytical, through conceptual approach, statute approach, and case approach. The results of the study concluded that: first, the role of the community must participate in efforts to prevent and eradicate corruption in the grounds that the community is a victim and the community as a component of the state. Second, the form of community participation in the prevention and eradication of criminal acts of corruption is to follow the provisions of community participation as regulated by legislation by carrying out planned and unplanned social controls to educate, invite or even force citizens to adjust yourself with the habits and life values of the people concerned.","author":[{"dropping-particle":"","family":"Bunga","given":"Marten","non-dropping-particle":"","parse-names":false,"suffix":""},{"dropping-particle":"","family":"Dg Maroa","given":"Mustating","non-dropping-particle":"","parse-names":false,"suffix":""},{"dropping-particle":"","family":"Arief","given":"Amelia","non-dropping-particle":"","parse-names":false,"suffix":""},{"dropping-particle":"","family":"Djanggih","given":"Hardianto","non-dropping-particle":"","parse-names":false,"suffix":""}],"container-title":"Law Reform: Jurnal Pembaharuan Hukum","id":"ITEM-1","issue":"1","issued":{"date-parts":[["2019"]]},"page":"85-97","title":"Urgensi Peran Serta Masyarakat Dalam Upaya Pencegahan Dan Pemberantasan Tindak Pidana Korupsi","type":"article-journal","volume":"15"},"uris":["http://www.mendeley.com/documents/?uuid=bf3dacb2-f16b-4e3e-aacb-4c56eb84917a"]}],"mendeley":{"formattedCitation":"(Bunga et al. 2019)","plainTextFormattedCitation":"(Bunga et al. 2019)","previouslyFormattedCitation":"(Bunga et al. 2019)"},"properties":{"noteIndex":0},"schema":"https://github.com/citation-style-language/schema/raw/master/csl-citation.json"}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(Bunga et al. 2019)</w:t>
      </w:r>
      <w:r w:rsidRPr="00515C8B">
        <w:rPr>
          <w:rFonts w:asciiTheme="majorHAnsi" w:eastAsia="Cambria" w:hAnsiTheme="majorHAnsi" w:cs="Cambria"/>
        </w:rPr>
        <w:fldChar w:fldCharType="end"/>
      </w:r>
      <w:r w:rsidRPr="00515C8B">
        <w:rPr>
          <w:rFonts w:asciiTheme="majorHAnsi" w:eastAsia="Cambria" w:hAnsiTheme="majorHAnsi" w:cs="Cambria"/>
        </w:rPr>
        <w:t>.</w:t>
      </w:r>
    </w:p>
    <w:p w14:paraId="6E21D1AB" w14:textId="77777777" w:rsidR="00515C8B" w:rsidRPr="00515C8B" w:rsidRDefault="00515C8B" w:rsidP="00515C8B">
      <w:pPr>
        <w:ind w:firstLine="284"/>
        <w:jc w:val="both"/>
        <w:rPr>
          <w:rFonts w:asciiTheme="majorHAnsi" w:eastAsia="Cambria" w:hAnsiTheme="majorHAnsi" w:cs="Cambria"/>
        </w:rPr>
      </w:pPr>
      <w:r w:rsidRPr="00515C8B">
        <w:rPr>
          <w:rFonts w:asciiTheme="majorHAnsi" w:eastAsia="Cambria" w:hAnsiTheme="majorHAnsi" w:cs="Cambria"/>
        </w:rPr>
        <w:t>One of the important aspects in handling corruption on  procurement of goods and services in military courts is the synergy between general criminal law and military law. Corruption cases involving military personnel are not only a violation of military discipline, but also a criminal act that threatens the interests of the state in general. Therefore, it is important to maintain a balance between the enforcement of general criminal law regulated by the Criminal Code and the Corruption Eradication Law, with the internal rules that apply in the military.</w:t>
      </w:r>
    </w:p>
    <w:p w14:paraId="61A9599B" w14:textId="689891F3" w:rsidR="000245FE" w:rsidRPr="00515C8B" w:rsidRDefault="00515C8B" w:rsidP="00515C8B">
      <w:pPr>
        <w:ind w:firstLine="284"/>
        <w:jc w:val="both"/>
        <w:rPr>
          <w:rFonts w:asciiTheme="majorHAnsi" w:eastAsia="Cambria" w:hAnsiTheme="majorHAnsi" w:cs="Cambria"/>
        </w:rPr>
      </w:pPr>
      <w:r w:rsidRPr="00515C8B">
        <w:rPr>
          <w:rFonts w:asciiTheme="majorHAnsi" w:eastAsia="Cambria" w:hAnsiTheme="majorHAnsi" w:cs="Cambria"/>
        </w:rPr>
        <w:t xml:space="preserve">Corruption procurement of goods and services in the military environment does not only concern aspects of economic crimes, but also serious violations of the Sapta Marga and the Soldier's Oath, which is the code of ethics for TNI soldiers. Corrupt perpetrators from the military can be subject to heavier punishments, because their actions are considered to violate integrity and weaken the country's defense. Military courts have a strategic role in maintaining the integrity of military institutions. Firmness in handling corruption cases shows that military institutions do not tolerate actions that can damage the image and professionalism of soldiers. The decision issued by the military court is also an important precedent for preventive efforts, encouraging transparant, and accountability in procurement goods and services in military environment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{"citationItems":[{"id":"ITEM-1","itemData":{"DOI":"10.31078/jk1521","ISSN":"1829-7706","abstract":"Proses pemakzulan atau pemberhentian Presiden menurut UUD 1945 melibatkan secara aktif tiga lembaga negara berbeda, yaitu DPR, Mahkamah Konstitusi, dan MPR. Proses akhir dari pemberhentian Presiden bukanlah di tangan Mahkamah Konstitusi, namun terletak pada sidang istimewa MPR yang terdiri dari anggota DPR dan anggota DPD. Dengan demikian, anggota MPR yang berasal dari anggota DPD sebenarnya memiliki peran terbatas secara perorangan untuk turut serta menentukan pemberhentian Presiden karena tidak melibatkan DPD secara kelembagaan sebagai kamar kedua parlemen (second chamber). Oleh karenanya, penelitian ini bertujuan untuk memberikan analisis perbandingan mengenai sejauh mana peran kamar kedua parlemen dan kekuasaan kehakiman dalam proses pemberhentian Presiden di lima belas negara berbeda, baik terhadap negara yang menggunakan sistem pemerintahan presidensial, sistem parlementer, ataupun sistem campuran. Penelitian ini menggunakan metode kualitatif melalui pendekatan perbandingan konstitusi dengan bersumber pada studi kepustakaan. Berdasarkan analisis perbandingan yang dilakukan maka diperoleh kesimpulan bahwa kamar kedua parlemen di banyak negara memiliki peran sangat penting dalam menentukan pemberhentian Presiden. Kemudian, sebagian besar negara yang diteliti juga turut melibatkan kekuasaan kehakimannya melalui Mahkamah Konstitusi, Mahkamah Agung, atau Dewan Konstitusi. Lembaga ini menilai usulan atau dakwaan dari parlemen mengenai bersalah atau tidaknya Presiden atas dugaan pelanggaran konstitusi atau kejahatan pidana lainnya. Meskipun demikian, negara-negara tersebut umumnya tetap menyerahkan keputusan akhir mengenai pemberhentian Presiden kepada parlemen.The impeachment process against the President according to the 1945 Constitution of Indonesia actively involves three different state institutions, namely the House of Representative (DPR), the Constitutional Court (MK), and the People’s Consultative Assembly (MPR). The final process of the impeachment in Indonesia is not in the hand of the Constitutional Court, but it lies in a Special Session of the MPR consisting of members of the DPR and members of the Regional Representative Council (DPD). Thus, the individual role of the MPR members who come from the DPD members to participate in determining the impeachment of the President is limited because it does not involve the DPD institutionally as the second chamber of parliament. Therefore, this research aims to provide a comparative analysis concer…","author":[{"dropping-particle":"","family":"Faiz","given":"Pan Mohamad","non-dropping-particle":"","parse-names":false,"suffix":""},{"dropping-particle":"","family":"Redhani","given":"Muhammad Erfa","non-dropping-particle":"","parse-names":false,"suffix":""}],"container-title":"Jurnal Konstitusi","id":"ITEM-1","issue":"2","issued":{"date-parts":[["2018"]]},"page":"231","title":"Analisis Perbandingan Peran Kamar Kedua Parlemen dan Kekuasaan Kehakiman dalam Proses Pemberhentian Presiden","type":"article-journal","volume":"15"},"uris":["http://www.mendeley.com/documents/?uuid=63745852-5cb0-4f18-86dd-6de9897a960f"]}],"mendeley":{"formattedCitation":"(Faiz and Redhani 2018)","plainTextFormattedCitation":"(Faiz and Redhani 2018)"},"properties":{"noteIndex":0},"schema":"https://github.com/citation-style-language/schema/raw/master/csl-citation.json"}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(Faiz and Redhani 2018)</w:t>
      </w:r>
      <w:r w:rsidRPr="00515C8B">
        <w:rPr>
          <w:rFonts w:asciiTheme="majorHAnsi" w:eastAsia="Cambria" w:hAnsiTheme="majorHAnsi" w:cs="Cambria"/>
        </w:rPr>
        <w:fldChar w:fldCharType="end"/>
      </w:r>
      <w:r w:rsidR="00CA69D1" w:rsidRPr="000245FE">
        <w:rPr>
          <w:rFonts w:asciiTheme="majorHAnsi" w:hAnsiTheme="majorHAnsi"/>
        </w:rPr>
        <w:t>.</w:t>
      </w:r>
    </w:p>
    <w:p w14:paraId="6E7D647E" w14:textId="77777777" w:rsidR="000245FE" w:rsidRDefault="000245FE" w:rsidP="000245FE">
      <w:pPr>
        <w:pStyle w:val="BodyText"/>
        <w:spacing w:after="0"/>
        <w:ind w:firstLine="284"/>
        <w:jc w:val="both"/>
        <w:rPr>
          <w:rFonts w:asciiTheme="majorHAnsi" w:hAnsiTheme="majorHAnsi"/>
        </w:rPr>
      </w:pPr>
    </w:p>
    <w:p w14:paraId="7E7392CC" w14:textId="76D265CB" w:rsidR="00515C8B" w:rsidRPr="004E6CBB" w:rsidRDefault="00515C8B" w:rsidP="000245FE">
      <w:pPr>
        <w:spacing w:after="120" w:line="276" w:lineRule="auto"/>
        <w:jc w:val="both"/>
        <w:rPr>
          <w:rFonts w:asciiTheme="majorHAnsi" w:hAnsiTheme="majorHAnsi"/>
          <w:b/>
          <w:bCs/>
        </w:rPr>
      </w:pPr>
      <w:r w:rsidRPr="004E6CBB">
        <w:rPr>
          <w:rFonts w:asciiTheme="majorHAnsi" w:hAnsiTheme="majorHAnsi"/>
          <w:b/>
          <w:bCs/>
        </w:rPr>
        <w:t>The Authority of the Corruption Eradication Commission and Military Police in Addressing Corruption in Military Procurement of Goods and Services</w:t>
      </w:r>
    </w:p>
    <w:p w14:paraId="62FFA4EA"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The handling of corruption crimes in the military environment, related to procurement of goods and services involves two main institutions, namely the Corruption Eradication Commission (KPK) and the Military Police. These two institutions have special authority regulated by law in order to eradicate corruption committed by military personnel. However, because corruption in the military environment involves violations of military discipline, it requires a different approach than corruption in the civilian environment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{"citationItems":[{"id":"ITEM-1","itemData":{"abstract":"“Studi ini bertujuan untuk mengetahui pengaturan mengenai tindak pidana cyber bullying ditinjau dari Kitab Undang-Undang Hukum Pidana serta diluar Kitab Undang-Undang Hukum Pidana. Studi ini menggunakan metode penelitian yuridis normatif dengan pendekatan perundang-undangandan pendekatan konseptual. Hasil dari penulisan jurnal ini menunjukan bahwa pengaturan tindak pidana cyber bullying ditinjau dari Kitab Undang-Undang Hukum Pidana dapat kita lihat dalam Pasal 315 Kitab Undang-Undang Hukum Pidana karena tindak pidana cyber bullying memenuhi unsur subyektif maupun unsur obyektif yang terdapat dalam pasal tersebut. Selanjutnya, pengaturan tindak pidana cyber bullying di luar Kitab Undang-Undang Hukum Pidana terdapat dalam Pasal 27 Ayat (3) Undang-undang No 19 Tahun 2016 tentang Perubahan Atas Undang-undang Nomor 11 Tahun 2008 tentang Informasi dan Transaksi Elektronik karena dalam pasal tersebut menjelaskan mengenai penghinaan yang dilakukan melalui sarana computer atau media elektronik yang mana sesuai dengan perbuatan cyber bullying yang merupakan penghinaan melalui dunia maya. Kata Kunci : Tinjauan Yuridis, Cyber Bullying, Hukum Pidana, Indonesia. ABSTRACT Information technology is one of the most rapidly developing needs in this modern era. As a result of these developments, information technology gradually changes the behavior of people and human civilization globally. The development of this technology also has an impact in the world of crime, namely the existence of a type of humiliation that is insulted through cyberspace called Cyber ??Bullying. This study aims to determine the regulation of cyber bullying in terms of the Criminal Code and outside the Criminal Code. This study uses a normative juridical research method with a statutory approach and a conceptual approach. The results of the writing of this journal show that the regulation of cyber bullying in terms of the Criminal Code can be seen in Article 315 of the Criminal Law Code because the cyber bullying crime fulfills both the subjective and objective elements contained in the article. Furthermore, the regulation of cyber bullying outside the Criminal Code Act is contained in Article 27 Paragraph (3) of Law No. 19 of 2016 concerning Amendments to Law Number 11 of 2008 concerning Information and Electronic Transactions because it explains in the article regarding insults committed through computer or electronic media which are in accordance with cyber bullying which is an insult through …","author":[{"dropping-particle":"","family":"Muhammad Dani Ihkam","given":"I Gusti Ngurah Parwata","non-dropping-particle":"","parse-names":false,"suffix":""}],"container-title":"Jurnal Harian Regional","id":"ITEM-1","issue":"11","issued":{"date-parts":[["2020"]]},"page":"1-10","title":"Tindak Pidana Cyber Bullying Dalam Perspektif Hukum Pidana Di Indonesia","type":"article-journal","volume":"9"},"uris":["http://www.mendeley.com/documents/?uuid=3b459dd6-8e14-4f84-a61d-5d5f3300a790"]}],"mendeley":{"formattedCitation":"(Muhammad Dani Ihkam 2020)","plainTextFormattedCitation":"(Muhammad Dani Ihkam 2020)","previouslyFormattedCitation":"(Muhammad Dani Ihkam 2020)"},"properties":{"noteIndex":0},"schema":"https://github.com/citation-style-language/schema/raw/master/csl-citation.json"}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(Muhammad Dani Ihkam 2020)</w:t>
      </w:r>
      <w:r w:rsidRPr="00515C8B">
        <w:rPr>
          <w:rFonts w:asciiTheme="majorHAnsi" w:eastAsia="Cambria" w:hAnsiTheme="majorHAnsi" w:cs="Cambria"/>
        </w:rPr>
        <w:fldChar w:fldCharType="end"/>
      </w:r>
      <w:r w:rsidRPr="00515C8B">
        <w:rPr>
          <w:rFonts w:asciiTheme="majorHAnsi" w:eastAsia="Cambria" w:hAnsiTheme="majorHAnsi" w:cs="Cambria"/>
        </w:rPr>
        <w:t>.</w:t>
      </w:r>
    </w:p>
    <w:p w14:paraId="70869E2B"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The authority of the KPK and the Military Police often overlaps in corruption cases involving military personnel, but they also complement each other in several aspects. The following will discuss the authority of each institution in handling corruption cases in the procurement goods and services in the military environment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{"citationItems":[{"id":"ITEM-1","itemData":{"DOI":"10.24269/ls.v3i2.2023","ISSN":"2580-8656","abstract":"Konstitusi bangsa Indonesia mengatur tentang demokrasi yaitu dalam UUD1945 Pasal 1 ayat 2 yang berbunyi “Kedaulatan adalah ditangan rakyat dan dilaksanakan menurut Undang-Undang.Apabila merujuk pada pasal tersebut jelas bahwa negara Indonesia bukanlah negara yang berkedaulatan Presiden,berkedaulatan Negara,maupun berkedaulatan agama dan golongan.Demokrasi juga sangat mempengaruhi pemilihan umum di Indonesia,apakah hasil dari pemilihan umum berkualitas atau tidak itu tergantung dari para penyelenggara Pemilu itu sendiri serta kesadaran msyarakat dalam memilih para pemimpin baik Presiden,Gubernur,Bupati dan Wakil Bupati maupun Walikota dan Wakil Walikota serta anggota Legislatif.Kalau Pemilihannya menggunakan asas Langsung,umum ,bebas dan rahasia serta calon pemimpinannya juga Sumber daya Manusianya baik dan berkualitas ,tidak ada politik uang maka hasilnya akan maksaimal.","author":[{"dropping-particle":"","family":"Triwahyuningsih","given":"Susani","non-dropping-particle":"","parse-names":false,"suffix":""}],"container-title":"Legal Standing : Jurnal Ilmu Hukum","id":"ITEM-1","issue":"2","issued":{"date-parts":[["2019"]]},"page":"62","title":"Sistem Demokrasi Dalam Pemilihan Umum Secara Langsung Di Indonesia","type":"article-journal","volume":"3"},"uris":["http://www.mendeley.com/documents/?uuid=6b64ad0e-093e-4791-88d7-442e7ff195f7"]}],"mendeley":{"formattedCitation":"(Triwahyuningsih 2019)","plainTextFormattedCitation":"(Triwahyuningsih 2019)","previouslyFormattedCitation":"(Triwahyuningsih 2019)"},"properties":{"noteIndex":0},"schema":"https://github.com/citation-style-language/schema/raw/master/csl-citation.json"}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(Triwahyuningsih 2019)</w:t>
      </w:r>
      <w:r w:rsidRPr="00515C8B">
        <w:rPr>
          <w:rFonts w:asciiTheme="majorHAnsi" w:eastAsia="Cambria" w:hAnsiTheme="majorHAnsi" w:cs="Cambria"/>
        </w:rPr>
        <w:fldChar w:fldCharType="end"/>
      </w:r>
      <w:r w:rsidRPr="00515C8B">
        <w:rPr>
          <w:rFonts w:asciiTheme="majorHAnsi" w:eastAsia="Cambria" w:hAnsiTheme="majorHAnsi" w:cs="Cambria"/>
        </w:rPr>
        <w:t>.</w:t>
      </w:r>
    </w:p>
    <w:p w14:paraId="6DD13FA5"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KPK as an independent institution established, has the main task of preventing, investigating, investigating, and prosecuting corruption crimes that are detrimental to the state. The authority of the KPK covers all aspects of government, including cases involving military personnel, especially if the criminal act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{"citationItems":[{"id":"ITEM-1","itemData":{"abstract":"Penelitian ini dilakukan dengan tujuan untuk mengetahui bagaimana penegakan hukum pidana terhadap kelalaian pengemudi yang mengakibatkan kecelakaan di jalan raya dan bagaimana faktor penyebab kelalaian pengemudi dalam berlalu lintas. Dengan menggunakan metode penelitian yuridis normatif, maka dapat disimpulkan: 1. Penegakan hukum pidana terhadap kelalaian pengemudi yang menimbulkan kecelakaan dapat dilakukan dengan menerapkan ketentuan KUHP Pasal 359 apabila akibat kelalaian pengemudi mengakibatkan kematian orang lain, sedangkan sebagai kelalaian yang dalam Pasal 360 KUHP bilamana akibat kelalaian pengemudi tersebut tidak mengakibatkan kematian. Sedangkan dalam ketentuan pidana lainnya yang ada dalam Undang-Undang Nomor 22 tahun 2009 tentang lalu lintas dan angkutan jalan, mengenai penanganan kecelakaan lalu lintas bagi kelalaian pengemudi baik yang mengakibatkan kematian maupun hanya luka-luka hanya diatur dalam Pasal 310. 2. Faktor-faktor yang mempengaruhi kondisi keselamatan dan tingkat kepatuhan adalah faktor internal kualitas sumber daya Polantas, faktor eksternal sarana dan prasarana jalan belum mencerminkan dan belum memperhatikan aspek keselamatan.","author":[{"dropping-particle":"","family":"Hengstz","given":"Yaenet Monica","non-dropping-particle":"","parse-names":false,"suffix":""}],"container-title":"Lex Crimen","id":"ITEM-1","issue":"1","issued":{"date-parts":[["2016"]]},"page":"107-115","title":"Penegakan Hukum Pidana Terhadap Kelalaian Pengemudi Yang Menimbulkan Kecelakaan Di Jalan Raya","type":"article-journal","volume":"V"},"uris":["http://www.mendeley.com/documents/?uuid=42dbe7ae-938e-4c2e-bbc4-d95ec113acfa"]}],"mendeley":{"formattedCitation":"(Hengstz 2016)","plainTextFormattedCitation":"(Hengstz 2016)","previouslyFormattedCitation":"(Hengstz 2016)"},"properties":{"noteIndex":0},"schema":"https://github.com/citation-style-language/schema/raw/master/csl-citation.json"}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(Hengstz 2016)</w:t>
      </w:r>
      <w:r w:rsidRPr="00515C8B">
        <w:rPr>
          <w:rFonts w:asciiTheme="majorHAnsi" w:eastAsia="Cambria" w:hAnsiTheme="majorHAnsi" w:cs="Cambria"/>
        </w:rPr>
        <w:fldChar w:fldCharType="end"/>
      </w:r>
      <w:r w:rsidRPr="00515C8B">
        <w:rPr>
          <w:rFonts w:asciiTheme="majorHAnsi" w:eastAsia="Cambria" w:hAnsiTheme="majorHAnsi" w:cs="Cambria"/>
        </w:rPr>
        <w:t>.</w:t>
      </w:r>
    </w:p>
    <w:p w14:paraId="44B802A4"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The KPK has a very broad authority in dealing with corruption, including conducting investigations against high-ranking military officials or contractors involved in procurement corruption in the military environment. In certain cases, especially those involving strategic or large-scale projects, the KPK often cooperates with the Military Police to conduct investigations and investigations, especially if the suspect is an active member of the military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{"citationItems":[{"id":"ITEM-1","itemData":{"abstract":"Sexual violence is one of the cases that attracts attention in Indonesia. According to data obtained from the Women's National Commission (Komnas Perempuan), the number of cases of violence against women touched 299,911 cases in 2020. The rise of sexual violence cases where the majority of victims are women creates various perceptions in society. This makes a reason in the discussion of this journal, namely the Act on the Crime of Sexual Violence (UU TPKS). The existence of the TPKS Law which clearly and specifically regulates the types of sexual violence and the protection of victims of sexual violence is a breakthrough in law enforcement in cases of sexual violence. The purpose of this paper is to analyze juridically regarding the existence of the TPKS Law, starting from the process of its formation, until the ratification of the TPKS Law. This study uses a normative juridical legal research method that prioritizes indirect data, where the data used is obtained through scientific articles, books, and statutory regulations. This writing is one explanation of how and why the TPKS Law exists.","author":[{"dropping-particle":"","family":"Bima","given":"BratadewaBayusuta","non-dropping-particle":"","parse-names":false,"suffix":""},{"dropping-particle":"","family":"Suwanto","given":"Yohanes","non-dropping-particle":"","parse-names":false,"suffix":""}],"container-title":"Jurnal Demokrasi dan Ketahanan Nasional |","id":"ITEM-1","issue":"1","issued":{"date-parts":[["2022"]]},"number-of-pages":"37","title":"ANALISIS YURIDIS UNDANG-UNDANG TINDAK PIDANA KEKERASAN SEKSUAL DALAM PENEGAKAN HUKUM DI INDONESIA","type":"report","volume":"1"},"uris":["http://www.mendeley.com/documents/?uuid=8700eeb7-f659-3981-8718-ce8a26838c31"]}],"mendeley":{"formattedCitation":"(Bima and Suwanto 2022)","plainTextFormattedCitation":"(Bima and Suwanto 2022)","previouslyFormattedCitation":"(Bima and Suwanto 2022)"},"properties":{"noteIndex":0},"schema":"https://github.com/citation-style-language/schema/raw/master/csl-citation.json"}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(Bima and Suwanto 2022)</w:t>
      </w:r>
      <w:r w:rsidRPr="00515C8B">
        <w:rPr>
          <w:rFonts w:asciiTheme="majorHAnsi" w:eastAsia="Cambria" w:hAnsiTheme="majorHAnsi" w:cs="Cambria"/>
        </w:rPr>
        <w:fldChar w:fldCharType="end"/>
      </w:r>
      <w:r w:rsidRPr="00515C8B">
        <w:rPr>
          <w:rFonts w:asciiTheme="majorHAnsi" w:eastAsia="Cambria" w:hAnsiTheme="majorHAnsi" w:cs="Cambria"/>
        </w:rPr>
        <w:t>.</w:t>
      </w:r>
    </w:p>
    <w:p w14:paraId="50B4B29B" w14:textId="77777777" w:rsidR="00515C8B" w:rsidRPr="00515C8B" w:rsidRDefault="00515C8B" w:rsidP="00515C8B">
      <w:pPr>
        <w:ind w:firstLine="284"/>
        <w:jc w:val="both"/>
        <w:rPr>
          <w:rFonts w:asciiTheme="majorHAnsi" w:eastAsia="Cambria" w:hAnsiTheme="majorHAnsi" w:cs="Cambria"/>
        </w:rPr>
      </w:pPr>
      <w:r w:rsidRPr="00515C8B">
        <w:rPr>
          <w:rFonts w:asciiTheme="majorHAnsi" w:eastAsia="Cambria" w:hAnsiTheme="majorHAnsi" w:cs="Cambria"/>
        </w:rPr>
        <w:t xml:space="preserve">Although the KPK is authorized to investigate and investigate corruption cases among the military, in terms of prosecution, the KPK cannot take the case directly to the general court. If the suspect is a member of the military, then the case will be transferred to the Military Inspectorate for further processing at the Military Court. This collaboration establishes a unique mechanism to ensure that the military remains subject to national law while still being adjudicated within the military court system, in line with military discipline regulations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{"citationItems":[{"id":"ITEM-1","itemData":{"abstract":"Era New normal ditandai sejak munculnya virus corona SARS-CoV-2 yang terkenal dengan istilah covid 19 yang berasal dari negara Wuhan China pada Tahun 2019 . Virus corona ini dengan cepat menyebar keseluruh dunia yang menyebakan pandemi global.Akibat Pandemi covid 19 ini terjadi perubahan gaya hidup sosial dengan memenuhi protokol kesehatan. Banyak Perusahaan yang kesulitan dalam menjalankan usahanya karena adanya pembatasan aktifitas yang dikeluarkan pemerintah seperti PSBB Dan PPKM. . Di era new normal saat ini merger dan akuisisi perusahaan merupakan salah satu alternatif untuk menjaga agar perusahaan tetap bertahan. Merger adalah penggabungan satu perseroan kepada perseroan lainya dan Akuisisi merupakan pengambilalihan saham suatu perseroan yang mengakibatkan beralihnya pengendalian atas perseroan tersebut. Setiap Pelaksanaan merger dan Akuisisi harus sesuai dengan peraturan yang berlaku untuk mencegah terjadinya Monopoli dan Persaingan Usaha Tidak Sehat. Praktek Merger dan Akuisisi wajib dinotifikasikan atau diberitahukan kepada Komisi Pengawasan Persaingan Usaha (KPPU). Pengaturan mengenai Merger dan Akuisisi perusahaan dari aspek Persaingan Usaha terdapat dalam Pasal 28 dan Pasal 29 Undang-Undang Nomor 5 Tahun 1999 , Peraturan Komisi Pengawas Persaingan (KPPU) No. 1 Tahun 2009, Peraturan Pemerintah No. 57 Tahun 2010 dan Peraturan KPPU No.3 Tahun 2019 . Dan Khusus pada masa new normal ini Pelaksanaan Notifikasi pelaksanaan merger dan akuisisi dapat dilakukan secara elektronik seperti yang diatur dalam Peraturan KPPU No. 1 tahun 2020.","author":[{"dropping-particle":"","family":"Nadirah","given":"Ida","non-dropping-particle":"","parse-names":false,"suffix":""}],"container-title":"Sintesa","id":"ITEM-1","issued":{"date-parts":[["2021"]]},"page":"226-245","title":"Perspektif Hukum Persaingan Usaha Terhadap Merger Dan Akuisisi Perusahaan Di Era New Normal","type":"article-journal","volume":"1"},"uris":["http://www.mendeley.com/documents/?uuid=caf99e38-9aef-44cd-926c-3aa321b446b4"]}],"mendeley":{"formattedCitation":"(Nadirah 2021)","plainTextFormattedCitation":"(Nadirah 2021)","previouslyFormattedCitation":"(Nadirah 2021)"},"properties":{"noteIndex":0},"schema":"https://github.com/citation-style-language/schema/raw/master/csl-citation.json"}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(Nadirah 2021)</w:t>
      </w:r>
      <w:r w:rsidRPr="00515C8B">
        <w:rPr>
          <w:rFonts w:asciiTheme="majorHAnsi" w:eastAsia="Cambria" w:hAnsiTheme="majorHAnsi" w:cs="Cambria"/>
        </w:rPr>
        <w:fldChar w:fldCharType="end"/>
      </w:r>
      <w:r w:rsidRPr="00515C8B">
        <w:rPr>
          <w:rFonts w:asciiTheme="majorHAnsi" w:eastAsia="Cambria" w:hAnsiTheme="majorHAnsi" w:cs="Cambria"/>
        </w:rPr>
        <w:t>.</w:t>
      </w:r>
    </w:p>
    <w:p w14:paraId="422591C9" w14:textId="790CA88B" w:rsidR="00515C8B" w:rsidRPr="00E30712" w:rsidRDefault="00515C8B" w:rsidP="00E30712">
      <w:pPr>
        <w:ind w:firstLine="284"/>
        <w:jc w:val="both"/>
        <w:rPr>
          <w:rFonts w:asciiTheme="majorHAnsi" w:eastAsia="Cambria" w:hAnsiTheme="majorHAnsi" w:cs="Cambria"/>
        </w:rPr>
      </w:pPr>
      <w:r w:rsidRPr="00515C8B">
        <w:rPr>
          <w:rFonts w:asciiTheme="majorHAnsi" w:eastAsia="Cambria" w:hAnsiTheme="majorHAnsi" w:cs="Cambria"/>
        </w:rPr>
        <w:lastRenderedPageBreak/>
        <w:t xml:space="preserve">In addition to law enforcement, the KPK also plays a role in prevention through supervision of the procurement process of goods and services, including in the military environment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{"citationItems":[{"id":"ITEM-1","itemData":{"DOI":"10.31078/jk1521","ISSN":"1829-7706","abstract":"Proses pemakzulan atau pemberhentian Presiden menurut UUD 1945 melibatkan secara aktif tiga lembaga negara berbeda, yaitu DPR, Mahkamah Konstitusi, dan MPR. Proses akhir dari pemberhentian Presiden bukanlah di tangan Mahkamah Konstitusi, namun terletak pada sidang istimewa MPR yang terdiri dari anggota DPR dan anggota DPD. Dengan demikian, anggota MPR yang berasal dari anggota DPD sebenarnya memiliki peran terbatas secara perorangan untuk turut serta menentukan pemberhentian Presiden karena tidak melibatkan DPD secara kelembagaan sebagai kamar kedua parlemen (second chamber). Oleh karenanya, penelitian ini bertujuan untuk memberikan analisis perbandingan mengenai sejauh mana peran kamar kedua parlemen dan kekuasaan kehakiman dalam proses pemberhentian Presiden di lima belas negara berbeda, baik terhadap negara yang menggunakan sistem pemerintahan presidensial, sistem parlementer, ataupun sistem campuran. Penelitian ini menggunakan metode kualitatif melalui pendekatan perbandingan konstitusi dengan bersumber pada studi kepustakaan. Berdasarkan analisis perbandingan yang dilakukan maka diperoleh kesimpulan bahwa kamar kedua parlemen di banyak negara memiliki peran sangat penting dalam menentukan pemberhentian Presiden. Kemudian, sebagian besar negara yang diteliti juga turut melibatkan kekuasaan kehakimannya melalui Mahkamah Konstitusi, Mahkamah Agung, atau Dewan Konstitusi. Lembaga ini menilai usulan atau dakwaan dari parlemen mengenai bersalah atau tidaknya Presiden atas dugaan pelanggaran konstitusi atau kejahatan pidana lainnya. Meskipun demikian, negara-negara tersebut umumnya tetap menyerahkan keputusan akhir mengenai pemberhentian Presiden kepada parlemen.The impeachment process against the President according to the 1945 Constitution of Indonesia actively involves three different state institutions, namely the House of Representative (DPR), the Constitutional Court (MK), and the People’s Consultative Assembly (MPR). The final process of the impeachment in Indonesia is not in the hand of the Constitutional Court, but it lies in a Special Session of the MPR consisting of members of the DPR and members of the Regional Representative Council (DPD). Thus, the individual role of the MPR members who come from the DPD members to participate in determining the impeachment of the President is limited because it does not involve the DPD institutionally as the second chamber of parliament. Therefore, this research aims to provide a comparative analysis concer…","author":[{"dropping-particle":"","family":"Faiz","given":"Pan Mohamad","non-dropping-particle":"","parse-names":false,"suffix":""},{"dropping-particle":"","family":"Redhani","given":"Muhammad Erfa","non-dropping-particle":"","parse-names":false,"suffix":""}],"container-title":"Jurnal Konstitusi","id":"ITEM-1","issue":"2","issued":{"date-parts":[["2018"]]},"page":"231","title":"Analisis Perbandingan Peran Kamar Kedua Parlemen dan Kekuasaan Kehakiman dalam Proses Pemberhentian Presiden","type":"article-journal","volume":"15"},"uris":["http://www.mendeley.com/documents/?uuid=63745852-5cb0-4f18-86dd-6de9897a960f"]}],"mendeley":{"formattedCitation":"(Faiz and Redhani 2018)","plainTextFormattedCitation":"(Faiz and Redhani 2018)","previouslyFormattedCitation":"(Faiz and Redhani 2018)"},"properties":{"noteIndex":0},"schema":"https://github.com/citation-style-language/schema/raw/master/csl-citation.json"}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(Faiz and Redhani 2018)</w:t>
      </w:r>
      <w:r w:rsidRPr="00515C8B">
        <w:rPr>
          <w:rFonts w:asciiTheme="majorHAnsi" w:eastAsia="Cambria" w:hAnsiTheme="majorHAnsi" w:cs="Cambria"/>
        </w:rPr>
        <w:fldChar w:fldCharType="end"/>
      </w:r>
      <w:r w:rsidRPr="00515C8B">
        <w:rPr>
          <w:rFonts w:asciiTheme="majorHAnsi" w:eastAsia="Cambria" w:hAnsiTheme="majorHAnsi" w:cs="Cambria"/>
        </w:rPr>
        <w:t xml:space="preserve">. The KPK can provide recommendations related to strengthening military procurement governance, encouraging transparency, and ensuring that procurement is carried out in accordance with applicable procedures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{"citationItems":[{"id":"ITEM-1","itemData":{"abstract":"Era New normal ditandai sejak munculnya virus corona SARS-CoV-2 yang terkenal dengan istilah covid 19 yang berasal dari negara Wuhan China pada Tahun 2019 . Virus corona ini dengan cepat menyebar keseluruh dunia yang menyebakan pandemi global.Akibat Pandemi covid 19 ini terjadi perubahan gaya hidup sosial dengan memenuhi protokol kesehatan. Banyak Perusahaan yang kesulitan dalam menjalankan usahanya karena adanya pembatasan aktifitas yang dikeluarkan pemerintah seperti PSBB Dan PPKM. . Di era new normal saat ini merger dan akuisisi perusahaan merupakan salah satu alternatif untuk menjaga agar perusahaan tetap bertahan. Merger adalah penggabungan satu perseroan kepada perseroan lainya dan Akuisisi merupakan pengambilalihan saham suatu perseroan yang mengakibatkan beralihnya pengendalian atas perseroan tersebut. Setiap Pelaksanaan merger dan Akuisisi harus sesuai dengan peraturan yang berlaku untuk mencegah terjadinya Monopoli dan Persaingan Usaha Tidak Sehat. Praktek Merger dan Akuisisi wajib dinotifikasikan atau diberitahukan kepada Komisi Pengawasan Persaingan Usaha (KPPU). Pengaturan mengenai Merger dan Akuisisi perusahaan dari aspek Persaingan Usaha terdapat dalam Pasal 28 dan Pasal 29 Undang-Undang Nomor 5 Tahun 1999 , Peraturan Komisi Pengawas Persaingan (KPPU) No. 1 Tahun 2009, Peraturan Pemerintah No. 57 Tahun 2010 dan Peraturan KPPU No.3 Tahun 2019 . Dan Khusus pada masa new normal ini Pelaksanaan Notifikasi pelaksanaan merger dan akuisisi dapat dilakukan secara elektronik seperti yang diatur dalam Peraturan KPPU No. 1 tahun 2020.","author":[{"dropping-particle":"","family":"Nadirah","given":"Ida","non-dropping-particle":"","parse-names":false,"suffix":""}],"container-title":"Sintesa","id":"ITEM-1","issued":{"date-parts":[["2021"]]},"page":"226-245","title":"Perspektif Hukum Persaingan Usaha Terhadap Merger Dan Akuisisi Perusahaan Di Era New Normal","type":"article-journal","volume":"1"},"uris":["http://www.mendeley.com/documents/?uuid=caf99e38-9aef-44cd-926c-3aa321b446b4"]}],"mendeley":{"formattedCitation":"(Nadirah 2021)","plainTextFormattedCitation":"(Nadirah 2021)","previouslyFormattedCitation":"(Nadirah 2021)"},"properties":{"noteIndex":0},"schema":"https://github.com/citation-style-language/schema/raw/master/csl-citation.json"}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(Nadirah 2021)</w:t>
      </w:r>
      <w:r w:rsidRPr="00515C8B">
        <w:rPr>
          <w:rFonts w:asciiTheme="majorHAnsi" w:eastAsia="Cambria" w:hAnsiTheme="majorHAnsi" w:cs="Cambria"/>
        </w:rPr>
        <w:fldChar w:fldCharType="end"/>
      </w:r>
      <w:r w:rsidRPr="00515C8B">
        <w:rPr>
          <w:rFonts w:asciiTheme="majorHAnsi" w:eastAsia="Cambria" w:hAnsiTheme="majorHAnsi" w:cs="Cambria"/>
        </w:rPr>
        <w:t>.</w:t>
      </w:r>
    </w:p>
    <w:p w14:paraId="3656A183"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In the context of corruption, the Military Police has the duty to conduct investigations and investigations against military personnel who are allegedly involved. The Military Police also has the authority to arrest and detain military personnel involved in corruption crimes. When there is a suspicion of corruption involving military members, the Military Police will initiate an internal investigation. They collect evidence, conduct interrogations, and compile investigation reports.  It is proven that there are elements of corruption, the case will be transferred to the Military Inspectorate to procesed to the prosecution process at the Military Court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{"citationItems":[{"id":"ITEM-1","itemData":{"author":[{"dropping-particle":"","family":"Badu","given":"Lisnawaty W","non-dropping-particle":"","parse-names":false,"suffix":""},{"dropping-particle":"","family":"Apripari","given":"","non-dropping-particle":"","parse-names":false,"suffix":""}],"container-title":"Jurnal Legalitas","id":"ITEM-1","issue":"1","issued":{"date-parts":[["2022"]]},"page":"57-81","title":"Menggagas Tindak Pidana Militer Sebagai Kompetensi Absolut Peradilan Militer Dalam Perkara Pidana \"Initiating Military Criminal Acts As A Competence Of Military Justice Absolute In Criminal Crime\"","type":"article-journal","volume":"12"},"uris":["http://www.mendeley.com/documents/?uuid=7583ddbe-a638-4bdb-802d-688e3f7123bc"]}],"mendeley":{"formattedCitation":"(Badu and Apripari 2022)","plainTextFormattedCitation":"(Badu and Apripari 2022)","previouslyFormattedCitation":"(Badu and Apripari 2022)"},"properties":{"noteIndex":0},"schema":"https://github.com/citation-style-language/schema/raw/master/csl-citation.json"}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(Badu and Apripari 2022)</w:t>
      </w:r>
      <w:r w:rsidRPr="00515C8B">
        <w:rPr>
          <w:rFonts w:asciiTheme="majorHAnsi" w:eastAsia="Cambria" w:hAnsiTheme="majorHAnsi" w:cs="Cambria"/>
        </w:rPr>
        <w:fldChar w:fldCharType="end"/>
      </w:r>
      <w:r w:rsidRPr="00515C8B">
        <w:rPr>
          <w:rFonts w:asciiTheme="majorHAnsi" w:eastAsia="Cambria" w:hAnsiTheme="majorHAnsi" w:cs="Cambria"/>
        </w:rPr>
        <w:t>.</w:t>
      </w:r>
    </w:p>
    <w:p w14:paraId="078034F4"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The Military Police act as investigators in this regard, with special powers to interrogate military members and enforce military discipline, which distinguishes them from civilian law enforcement officials. In addition, the Military Police have better access into the military structure and understand its internal dynamics, making the investigation process more efficient. environment, the KPK and the Military Police have complementary roles and authorities. The KPK has broader authority in terms of investigations and investigations, especially if the case involves parties outside the military, such as contractors or government officials. Meanwhile, the Military Police focuses more on aspects of military discipline and conducts investigations into military personnel.</w:t>
      </w:r>
    </w:p>
    <w:p w14:paraId="22DC6FE8" w14:textId="77777777" w:rsidR="00515C8B" w:rsidRPr="00515C8B" w:rsidRDefault="00515C8B" w:rsidP="00515C8B">
      <w:pPr>
        <w:ind w:firstLine="284"/>
        <w:jc w:val="both"/>
        <w:rPr>
          <w:rFonts w:asciiTheme="majorHAnsi" w:eastAsia="Cambria" w:hAnsiTheme="majorHAnsi" w:cs="Cambria"/>
          <w:lang w:val="id-ID"/>
        </w:rPr>
      </w:pPr>
      <w:r w:rsidRPr="00515C8B">
        <w:rPr>
          <w:rFonts w:asciiTheme="majorHAnsi" w:eastAsia="Cambria" w:hAnsiTheme="majorHAnsi" w:cs="Cambria"/>
        </w:rPr>
        <w:t xml:space="preserve">This collaboration is crucial in handling cases involving military and civilian personnel simultaneously. The KPK can work closely with the Military Police to handle parts of cases involving military personnel, while the KPK handles parts involving civilians. This synergy is necessary to ensure that every perpetrator, both military and civilian, can be tried according to appropriate jurisdiction </w:t>
      </w:r>
      <w:r w:rsidRPr="00515C8B">
        <w:rPr>
          <w:rFonts w:asciiTheme="majorHAnsi" w:eastAsia="Cambria" w:hAnsiTheme="majorHAnsi" w:cs="Cambria"/>
        </w:rPr>
        <w:fldChar w:fldCharType="begin" w:fldLock="1"/>
      </w:r>
      <w:r w:rsidRPr="00515C8B">
        <w:rPr>
          <w:rFonts w:asciiTheme="majorHAnsi" w:eastAsia="Cambria" w:hAnsiTheme="majorHAnsi" w:cs="Cambria"/>
        </w:rPr>
        <w:instrText>ADDIN CSL_CITATION {"citationItems":[{"id":"ITEM-1","itemData":{"DOI":"10.22225/ah.2.3.2494.404-408","ISSN":"2716-2672","abstract":"Abstrak—Militer adalah orang yang dididik, dilatih dan dipersiapkan untuk bertempur.Warga Negara Indonesia yang dilantik menjadi Militer dalam melaksanakan tugasnya selain taat kepada nilai pancasila, sapta marga dan sumpah prajurit dituntut untuk selalu taat dan patuh pada semua peraturan-peraturan perundangan yang berlaku khusus bagi Anggota Militer.Anggota Militer yang terbukti melakukan pelanggaran hukum termasuk tindak pidana korupsi harus ditindak sesuai ketentuan hukum yang berlaku.Adapun rumusan masalah (1)Bagaimanakah pemeriksaan Tindak Pidana Korupsi yang dilakukan oleh Anggota Militer? (2)Bagaimanakah kewenangan mengadili Tindak Pidana Korupsi terhadap Anggota Militer? Penelitian ini mempergunakan metode normatif, pendekatan secara perundang-undangan, pendekatan konseptual, bahan hukum primer, bahan hukum sekunder, bahan hukum tersier, studi dokumen, studi kepustakaan, studi internet serta analisis interpretasi hukum dan analisis deskriptif.Proses pemeriksaan pada pengadilan militer sebenarnya sama dengan peradilan umum, tetapi sebutan untuk penyidik dan penuntut umumnya berbeda.Dalammenemukan peradilan mana yang digunakan untuk menangani perkara koneksitas, dapat diliat dari kerugian yang diakibatkan dari perbuatan pidana tersebut.Hakim dalam menjatuhkan hukuman kepada anggota militer yang melakukan tindak pidana korupsi harus sama dengan pelaku pada pengadilan tindak pidana korupsi.\r  ","author":[{"dropping-particle":"","family":"Wijana","given":"Kadek","non-dropping-particle":"","parse-names":false,"suffix":""},{"dropping-particle":"","family":"Sepud","given":"I Made","non-dropping-particle":"","parse-names":false,"suffix":""},{"dropping-particle":"","family":"Dewi","given":"Anak Agung Sagung Laksmi","non-dropping-particle":"","parse-names":false,"suffix":""}],"container-title":"Jurnal Analogi Hukum","id":"ITEM-1","issue":"3","issued":{"date-parts":[["2020"]]},"page":"404-408","title":"Peradilan Tindak Pidana Korupsi Bagi Anggota Militer","type":"article-journal","volume":"2"},"uris":["http://www.mendeley.com/documents/?uuid=3885ef8a-5303-4969-842b-e480bdac0786"]}],"mendeley":{"formattedCitation":"(Wijana et al. 2020)","plainTextFormattedCitation":"(Wijana et al. 2020)","previouslyFormattedCitation":"(Wijana et al. 2020)"},"properties":{"noteIndex":0},"schema":"https://github.com/citation-style-language/schema/raw/master/csl-citation.json"}</w:instrText>
      </w:r>
      <w:r w:rsidRPr="00515C8B">
        <w:rPr>
          <w:rFonts w:asciiTheme="majorHAnsi" w:eastAsia="Cambria" w:hAnsiTheme="majorHAnsi" w:cs="Cambria"/>
        </w:rPr>
        <w:fldChar w:fldCharType="separate"/>
      </w:r>
      <w:r w:rsidRPr="00515C8B">
        <w:rPr>
          <w:rFonts w:asciiTheme="majorHAnsi" w:eastAsia="Cambria" w:hAnsiTheme="majorHAnsi" w:cs="Cambria"/>
          <w:noProof/>
        </w:rPr>
        <w:t>(Wijana et al. 2020)</w:t>
      </w:r>
      <w:r w:rsidRPr="00515C8B">
        <w:rPr>
          <w:rFonts w:asciiTheme="majorHAnsi" w:eastAsia="Cambria" w:hAnsiTheme="majorHAnsi" w:cs="Cambria"/>
        </w:rPr>
        <w:fldChar w:fldCharType="end"/>
      </w:r>
      <w:r w:rsidRPr="00515C8B">
        <w:rPr>
          <w:rFonts w:asciiTheme="majorHAnsi" w:eastAsia="Cambria" w:hAnsiTheme="majorHAnsi" w:cs="Cambria"/>
        </w:rPr>
        <w:t>.</w:t>
      </w:r>
    </w:p>
    <w:p w14:paraId="4731F7E3" w14:textId="77777777" w:rsidR="00515C8B" w:rsidRDefault="00515C8B" w:rsidP="00515C8B">
      <w:pPr>
        <w:tabs>
          <w:tab w:val="left" w:pos="1590"/>
        </w:tabs>
        <w:ind w:firstLine="284"/>
        <w:jc w:val="both"/>
        <w:rPr>
          <w:rFonts w:asciiTheme="majorHAnsi" w:eastAsia="Cambria" w:hAnsiTheme="majorHAnsi" w:cs="Cambria"/>
        </w:rPr>
      </w:pPr>
    </w:p>
    <w:p w14:paraId="6F3332CF" w14:textId="24B151AA" w:rsidR="0010486D" w:rsidRPr="00A52DA3" w:rsidRDefault="0010486D" w:rsidP="0010486D">
      <w:pPr>
        <w:ind w:left="284" w:hanging="284"/>
        <w:rPr>
          <w:rFonts w:ascii="Cambria" w:eastAsia="Cambria" w:hAnsi="Cambria" w:cs="Cambria"/>
          <w:b/>
          <w:sz w:val="24"/>
          <w:szCs w:val="24"/>
        </w:rPr>
      </w:pPr>
      <w:r w:rsidRPr="00A52DA3">
        <w:rPr>
          <w:rFonts w:ascii="Cambria" w:eastAsia="Cambria" w:hAnsi="Cambria" w:cs="Cambria"/>
          <w:b/>
          <w:sz w:val="24"/>
          <w:szCs w:val="24"/>
        </w:rPr>
        <w:t>Conclusion</w:t>
      </w:r>
    </w:p>
    <w:p w14:paraId="1A311E52" w14:textId="77777777" w:rsidR="0010486D" w:rsidRPr="00EC5B4F" w:rsidRDefault="0010486D" w:rsidP="0010486D">
      <w:pPr>
        <w:ind w:left="284" w:firstLine="284"/>
        <w:jc w:val="both"/>
        <w:rPr>
          <w:rFonts w:ascii="Cambria" w:eastAsia="Cambria" w:hAnsi="Cambria" w:cs="Cambria"/>
        </w:rPr>
      </w:pPr>
    </w:p>
    <w:p w14:paraId="07DCAC44" w14:textId="51BDFAB3" w:rsidR="00E30712" w:rsidRPr="00E30712" w:rsidRDefault="00E30712" w:rsidP="00E30712">
      <w:pPr>
        <w:ind w:firstLine="284"/>
        <w:jc w:val="both"/>
        <w:rPr>
          <w:rFonts w:asciiTheme="majorHAnsi" w:eastAsia="Cambria" w:hAnsiTheme="majorHAnsi" w:cs="Cambria"/>
        </w:rPr>
      </w:pPr>
      <w:r w:rsidRPr="00E30712">
        <w:rPr>
          <w:rFonts w:asciiTheme="majorHAnsi" w:eastAsia="Cambria" w:hAnsiTheme="majorHAnsi" w:cs="Cambria"/>
        </w:rPr>
        <w:t>The handling of corruption in the procurement of goods and services in military courts shows the importance of integration between the rules of general criminal and military law. Military courts play a crucial role in maintaining the rule of law in the military environment by applying strict legal standards and high discipline. The KPK and the Military Police have an important role in eradicating corruption in the procurement of good and services in the military environment. The KPK, with its broad authority, can conduct corruption investigations and prevention at the national level, including in the military environment. Meanwhile, the Military Police acts as an internal law enforcer who maintains discipline and order among the military. Collaboration between the KPK and the Military Police is urgently needed to ensure that corruption crimes in the military environment can be handled effectively and fairly. Despite the challenges in terms of transparency and legal procedures, the synergy between these two institutions is an important step in realizing clean and accountable governance, both in civilian and military environments.</w:t>
      </w:r>
    </w:p>
    <w:p w14:paraId="5E1C2E33" w14:textId="77777777" w:rsidR="00E30712" w:rsidRPr="000245FE" w:rsidRDefault="00E30712" w:rsidP="000245FE">
      <w:pPr>
        <w:ind w:firstLine="284"/>
        <w:jc w:val="both"/>
        <w:rPr>
          <w:rFonts w:ascii="Cambria" w:hAnsi="Cambria"/>
        </w:rPr>
      </w:pPr>
    </w:p>
    <w:p w14:paraId="68F5EC85" w14:textId="77777777" w:rsidR="002F7D7E" w:rsidRPr="008E38A4" w:rsidRDefault="002F7D7E" w:rsidP="00397AC9">
      <w:pPr>
        <w:jc w:val="both"/>
        <w:rPr>
          <w:rFonts w:ascii="Cambria" w:hAnsi="Cambria"/>
        </w:rPr>
      </w:pPr>
    </w:p>
    <w:p w14:paraId="1AF2EBB7" w14:textId="44C035D8" w:rsidR="00E30712" w:rsidRPr="00E30712" w:rsidRDefault="00425F0C" w:rsidP="00E30712">
      <w:pPr>
        <w:spacing w:after="120"/>
        <w:ind w:left="284" w:hanging="284"/>
        <w:rPr>
          <w:szCs w:val="24"/>
        </w:rPr>
      </w:pPr>
      <w:bookmarkStart w:id="2" w:name="References"/>
      <w:r w:rsidRPr="00434ED8">
        <w:rPr>
          <w:rFonts w:ascii="Cambria" w:hAnsi="Cambria"/>
          <w:b/>
          <w:sz w:val="24"/>
          <w:szCs w:val="24"/>
          <w:lang w:val="id-ID"/>
        </w:rPr>
        <w:t>References</w:t>
      </w:r>
      <w:bookmarkEnd w:id="2"/>
      <w:r w:rsidR="000245FE" w:rsidRPr="000245FE">
        <w:rPr>
          <w:rFonts w:ascii="Cambria" w:eastAsia="Cambria" w:hAnsi="Cambria" w:cs="Cambria"/>
        </w:rPr>
        <w:fldChar w:fldCharType="begin" w:fldLock="1"/>
      </w:r>
      <w:r w:rsidR="000245FE" w:rsidRPr="000245FE">
        <w:rPr>
          <w:rFonts w:ascii="Cambria" w:eastAsia="Cambria" w:hAnsi="Cambria" w:cs="Cambria"/>
        </w:rPr>
        <w:instrText xml:space="preserve">ADDIN Mendeley Bibliography CSL_BIBLIOGRAPHY </w:instrText>
      </w:r>
      <w:r w:rsidR="000245FE" w:rsidRPr="000245FE">
        <w:rPr>
          <w:rFonts w:ascii="Cambria" w:eastAsia="Cambria" w:hAnsi="Cambria" w:cs="Cambria"/>
        </w:rPr>
        <w:fldChar w:fldCharType="separate"/>
      </w:r>
    </w:p>
    <w:p w14:paraId="706AC753"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Badu, Lisnawaty W., and Apripari. 2022. “Menggagas Tindak Pidana Militer Sebagai Kompetensi Absolut Peradilan Militer Dalam Perkara Pidana ‘Initiating Military Criminal Acts As A Competence Of Military Justice Absolute In Criminal Crime.’” </w:t>
      </w:r>
      <w:r w:rsidRPr="00485503">
        <w:rPr>
          <w:rFonts w:ascii="Cambria" w:hAnsi="Cambria"/>
          <w:i/>
          <w:iCs/>
          <w:noProof/>
          <w:szCs w:val="24"/>
        </w:rPr>
        <w:t>Jurnal Legalitas</w:t>
      </w:r>
      <w:r w:rsidRPr="00485503">
        <w:rPr>
          <w:rFonts w:ascii="Cambria" w:hAnsi="Cambria"/>
          <w:noProof/>
          <w:szCs w:val="24"/>
        </w:rPr>
        <w:t xml:space="preserve"> 12(1):57–81.</w:t>
      </w:r>
    </w:p>
    <w:p w14:paraId="186BFBA2" w14:textId="2DF54E72" w:rsidR="00CA51D3" w:rsidRPr="00485503" w:rsidRDefault="00CA51D3" w:rsidP="00E30712">
      <w:pPr>
        <w:widowControl w:val="0"/>
        <w:autoSpaceDE w:val="0"/>
        <w:autoSpaceDN w:val="0"/>
        <w:adjustRightInd w:val="0"/>
        <w:ind w:left="480" w:hanging="480"/>
        <w:jc w:val="both"/>
        <w:rPr>
          <w:rFonts w:ascii="Cambria" w:hAnsi="Cambria"/>
          <w:noProof/>
          <w:szCs w:val="24"/>
        </w:rPr>
      </w:pPr>
      <w:r w:rsidRPr="00CA51D3">
        <w:rPr>
          <w:rFonts w:ascii="Cambria" w:hAnsi="Cambria"/>
          <w:noProof/>
          <w:szCs w:val="24"/>
        </w:rPr>
        <w:t>Bayusuta, B. B., &amp; Suwanto, Y. 2022. Analisis yuridis undang-undang tindak pidana kekerasan seksual dalam penegakan hukum di Indonesia. </w:t>
      </w:r>
      <w:r w:rsidRPr="00CA51D3">
        <w:rPr>
          <w:rFonts w:ascii="Cambria" w:hAnsi="Cambria"/>
          <w:i/>
          <w:iCs/>
          <w:noProof/>
          <w:szCs w:val="24"/>
        </w:rPr>
        <w:t>Souvereignty</w:t>
      </w:r>
      <w:r w:rsidRPr="00CA51D3">
        <w:rPr>
          <w:rFonts w:ascii="Cambria" w:hAnsi="Cambria"/>
          <w:noProof/>
          <w:szCs w:val="24"/>
        </w:rPr>
        <w:t>, </w:t>
      </w:r>
      <w:r w:rsidRPr="00CA51D3">
        <w:rPr>
          <w:rFonts w:ascii="Cambria" w:hAnsi="Cambria"/>
          <w:i/>
          <w:iCs/>
          <w:noProof/>
          <w:szCs w:val="24"/>
        </w:rPr>
        <w:t>1</w:t>
      </w:r>
      <w:r w:rsidRPr="00CA51D3">
        <w:rPr>
          <w:rFonts w:ascii="Cambria" w:hAnsi="Cambria"/>
          <w:noProof/>
          <w:szCs w:val="24"/>
        </w:rPr>
        <w:t>(1), 37-43.</w:t>
      </w:r>
    </w:p>
    <w:p w14:paraId="4946C000"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Bunga, Marten, Mustating Dg Maroa, Amelia Arief, and Hardianto Djanggih. 2019. “Urgensi Peran Serta Masyarakat Dalam Upaya Pencegahan Dan Pemberantasan Tindak Pidana Korupsi.” </w:t>
      </w:r>
      <w:r w:rsidRPr="00485503">
        <w:rPr>
          <w:rFonts w:ascii="Cambria" w:hAnsi="Cambria"/>
          <w:i/>
          <w:iCs/>
          <w:noProof/>
          <w:szCs w:val="24"/>
        </w:rPr>
        <w:t>Law Reform: Jurnal Pembaharuan Hukum</w:t>
      </w:r>
      <w:r w:rsidRPr="00485503">
        <w:rPr>
          <w:rFonts w:ascii="Cambria" w:hAnsi="Cambria"/>
          <w:noProof/>
          <w:szCs w:val="24"/>
        </w:rPr>
        <w:t xml:space="preserve"> 15(1):85–97. doi: 10.14710/lr.v15i1.23356.</w:t>
      </w:r>
    </w:p>
    <w:p w14:paraId="3A408A08"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Dewi, Vania Oktaviani, and Irwan Triadi. 2023. “Penyelesaian Tindak Pidana Korupsi Oleh Subjek Militer Saat Sedang Menduduki Jabatan Sipil.” </w:t>
      </w:r>
      <w:r w:rsidRPr="00485503">
        <w:rPr>
          <w:rFonts w:ascii="Cambria" w:hAnsi="Cambria"/>
          <w:i/>
          <w:iCs/>
          <w:noProof/>
          <w:szCs w:val="24"/>
        </w:rPr>
        <w:t>Hakim: Jurnal Ilmu Hukum Dan Sosial</w:t>
      </w:r>
      <w:r w:rsidRPr="00485503">
        <w:rPr>
          <w:rFonts w:ascii="Cambria" w:hAnsi="Cambria"/>
          <w:noProof/>
          <w:szCs w:val="24"/>
        </w:rPr>
        <w:t xml:space="preserve"> 1(4):197.</w:t>
      </w:r>
    </w:p>
    <w:p w14:paraId="58FC1A10"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Faiz, Pan Mohamad, and Muhammad Erfa Redhani. 2018. “Analisis Perbandingan Peran Kamar Kedua Parlemen </w:t>
      </w:r>
      <w:r w:rsidRPr="00485503">
        <w:rPr>
          <w:rFonts w:ascii="Cambria" w:hAnsi="Cambria"/>
          <w:noProof/>
          <w:szCs w:val="24"/>
        </w:rPr>
        <w:lastRenderedPageBreak/>
        <w:t xml:space="preserve">Dan Kekuasaan Kehakiman Dalam Proses Pemberhentian Presiden.” </w:t>
      </w:r>
      <w:r w:rsidRPr="00485503">
        <w:rPr>
          <w:rFonts w:ascii="Cambria" w:hAnsi="Cambria"/>
          <w:i/>
          <w:iCs/>
          <w:noProof/>
          <w:szCs w:val="24"/>
        </w:rPr>
        <w:t>Jurnal Konstitusi</w:t>
      </w:r>
      <w:r w:rsidRPr="00485503">
        <w:rPr>
          <w:rFonts w:ascii="Cambria" w:hAnsi="Cambria"/>
          <w:noProof/>
          <w:szCs w:val="24"/>
        </w:rPr>
        <w:t xml:space="preserve"> 15(2):231. doi: 10.31078/jk1521.</w:t>
      </w:r>
    </w:p>
    <w:p w14:paraId="5A80CAC0"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Hengstz, Yaenet Monica. 2016. “Penegakan Hukum Pidana Terhadap Kelalaian Pengemudi Yang Menimbulkan Kecelakaan Di Jalan Raya.” </w:t>
      </w:r>
      <w:r w:rsidRPr="00485503">
        <w:rPr>
          <w:rFonts w:ascii="Cambria" w:hAnsi="Cambria"/>
          <w:i/>
          <w:iCs/>
          <w:noProof/>
          <w:szCs w:val="24"/>
        </w:rPr>
        <w:t>Lex Crimen</w:t>
      </w:r>
      <w:r w:rsidRPr="00485503">
        <w:rPr>
          <w:rFonts w:ascii="Cambria" w:hAnsi="Cambria"/>
          <w:noProof/>
          <w:szCs w:val="24"/>
        </w:rPr>
        <w:t xml:space="preserve"> V(1):107–15.</w:t>
      </w:r>
    </w:p>
    <w:p w14:paraId="19EF1A05" w14:textId="759164D9"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Hukum, Fakultas, and Universitas Cokroaminoto. n.d. “</w:t>
      </w:r>
      <w:r w:rsidR="009C2D23" w:rsidRPr="00485503">
        <w:rPr>
          <w:rFonts w:ascii="Cambria" w:hAnsi="Cambria"/>
          <w:noProof/>
          <w:szCs w:val="24"/>
        </w:rPr>
        <w:t>Mengadili Tindak Pidana Korupsi Yang Dilakukan Oleh Anggota Militer Bersama-Sama Dengan Orang Sipil</w:t>
      </w:r>
      <w:r w:rsidRPr="00485503">
        <w:rPr>
          <w:rFonts w:ascii="Cambria" w:hAnsi="Cambria"/>
          <w:noProof/>
          <w:szCs w:val="24"/>
        </w:rPr>
        <w:t xml:space="preserve"> Jalan Perintis Kemerdekaan , Kec . Umbulharjo , Kota Yogyakarta , Email : Edy36013@gmail.Com.” (Vii).</w:t>
      </w:r>
    </w:p>
    <w:p w14:paraId="04C5E55F"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Muhammad Dani Ihkam, I. Gusti Ngurah Parwata. 2020. “Tindak Pidana Cyber Bullying Dalam Perspektif Hukum Pidana Di Indonesia.” </w:t>
      </w:r>
      <w:r w:rsidRPr="00485503">
        <w:rPr>
          <w:rFonts w:ascii="Cambria" w:hAnsi="Cambria"/>
          <w:i/>
          <w:iCs/>
          <w:noProof/>
          <w:szCs w:val="24"/>
        </w:rPr>
        <w:t>Jurnal Harian Regional</w:t>
      </w:r>
      <w:r w:rsidRPr="00485503">
        <w:rPr>
          <w:rFonts w:ascii="Cambria" w:hAnsi="Cambria"/>
          <w:noProof/>
          <w:szCs w:val="24"/>
        </w:rPr>
        <w:t xml:space="preserve"> 9(11):1–10.</w:t>
      </w:r>
    </w:p>
    <w:p w14:paraId="36FD1FCA"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Nadirah, Ida. 2021. “Perspektif Hukum Persaingan Usaha Terhadap Merger Dan Akuisisi Perusahaan Di Era New Normal.” </w:t>
      </w:r>
      <w:r w:rsidRPr="00485503">
        <w:rPr>
          <w:rFonts w:ascii="Cambria" w:hAnsi="Cambria"/>
          <w:i/>
          <w:iCs/>
          <w:noProof/>
          <w:szCs w:val="24"/>
        </w:rPr>
        <w:t>Sintesa</w:t>
      </w:r>
      <w:r w:rsidRPr="00485503">
        <w:rPr>
          <w:rFonts w:ascii="Cambria" w:hAnsi="Cambria"/>
          <w:noProof/>
          <w:szCs w:val="24"/>
        </w:rPr>
        <w:t xml:space="preserve"> 1:226–45.</w:t>
      </w:r>
    </w:p>
    <w:p w14:paraId="27B95DA7" w14:textId="7E34414E"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Pakasi, Dean Raphael, and Daniel Franzel Aling. 2013. “</w:t>
      </w:r>
      <w:r w:rsidR="009C2D23" w:rsidRPr="00485503">
        <w:rPr>
          <w:rFonts w:ascii="Cambria" w:hAnsi="Cambria"/>
          <w:noProof/>
          <w:szCs w:val="24"/>
        </w:rPr>
        <w:t>Penindakan Hukum Tentang Tindak Pidana Korupsi Oleh Militer Yang Menduduki Jabatan Sipil</w:t>
      </w:r>
      <w:r w:rsidRPr="00485503">
        <w:rPr>
          <w:rFonts w:ascii="Cambria" w:hAnsi="Cambria"/>
          <w:noProof/>
          <w:szCs w:val="24"/>
        </w:rPr>
        <w:t xml:space="preserve">.” </w:t>
      </w:r>
      <w:r w:rsidRPr="00485503">
        <w:rPr>
          <w:rFonts w:ascii="Cambria" w:hAnsi="Cambria"/>
          <w:i/>
          <w:iCs/>
          <w:noProof/>
          <w:szCs w:val="24"/>
        </w:rPr>
        <w:t>Lex_Privatum</w:t>
      </w:r>
      <w:r w:rsidRPr="00485503">
        <w:rPr>
          <w:rFonts w:ascii="Cambria" w:hAnsi="Cambria"/>
          <w:noProof/>
          <w:szCs w:val="24"/>
        </w:rPr>
        <w:t xml:space="preserve"> 1.</w:t>
      </w:r>
    </w:p>
    <w:p w14:paraId="0D4A9E45"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Peter Mahmud Marzuki. 2016. </w:t>
      </w:r>
      <w:r w:rsidRPr="00485503">
        <w:rPr>
          <w:rFonts w:ascii="Cambria" w:hAnsi="Cambria"/>
          <w:i/>
          <w:iCs/>
          <w:noProof/>
          <w:szCs w:val="24"/>
        </w:rPr>
        <w:t>Metode Penelitian Hukum</w:t>
      </w:r>
      <w:r w:rsidRPr="00485503">
        <w:rPr>
          <w:rFonts w:ascii="Cambria" w:hAnsi="Cambria"/>
          <w:noProof/>
          <w:szCs w:val="24"/>
        </w:rPr>
        <w:t>.</w:t>
      </w:r>
    </w:p>
    <w:p w14:paraId="02A6854D" w14:textId="48A4C8A4"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Ramadhani, Putri Rizka, and Shandy Angelica Elizabeth Hutagalung. 2016. “P</w:t>
      </w:r>
      <w:r w:rsidR="009C2D23" w:rsidRPr="00485503">
        <w:rPr>
          <w:rFonts w:ascii="Cambria" w:hAnsi="Cambria"/>
          <w:noProof/>
          <w:szCs w:val="24"/>
        </w:rPr>
        <w:t>enerapan Prinsip Mengenali Pemilik Manfaat Perseroan Terbatas Tertutup (Studi Perbandingan: Singapura Dan Indonesia</w:t>
      </w:r>
      <w:r w:rsidRPr="00485503">
        <w:rPr>
          <w:rFonts w:ascii="Cambria" w:hAnsi="Cambria"/>
          <w:noProof/>
          <w:szCs w:val="24"/>
        </w:rPr>
        <w:t>).” 2(April):1–23.</w:t>
      </w:r>
    </w:p>
    <w:p w14:paraId="49549258"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Sutrisno, Bambang, and FX Bhirawa Braja Paksa. 2019. “Penegakan Hukum Terhadap Tindak Pidana Pencemaran Nama Baik Menurut Pasal 27 Ayat (3) Undang-Undang Nomor 11 Tahun 2008 Tentang Informasi Dan Transaksi Elektronik (Uu Ite).” </w:t>
      </w:r>
      <w:r w:rsidRPr="00485503">
        <w:rPr>
          <w:rFonts w:ascii="Cambria" w:hAnsi="Cambria"/>
          <w:i/>
          <w:iCs/>
          <w:noProof/>
          <w:szCs w:val="24"/>
        </w:rPr>
        <w:t>MIZAN, Jurnal Ilmu Hukum</w:t>
      </w:r>
      <w:r w:rsidRPr="00485503">
        <w:rPr>
          <w:rFonts w:ascii="Cambria" w:hAnsi="Cambria"/>
          <w:noProof/>
          <w:szCs w:val="24"/>
        </w:rPr>
        <w:t xml:space="preserve"> 8(1):20. doi: 10.32503/mizan.v8i1.495.</w:t>
      </w:r>
    </w:p>
    <w:p w14:paraId="4C7F1CBA" w14:textId="77777777" w:rsidR="00E30712" w:rsidRPr="00485503" w:rsidRDefault="00E30712" w:rsidP="00E30712">
      <w:pPr>
        <w:widowControl w:val="0"/>
        <w:autoSpaceDE w:val="0"/>
        <w:autoSpaceDN w:val="0"/>
        <w:adjustRightInd w:val="0"/>
        <w:ind w:left="480" w:hanging="480"/>
        <w:jc w:val="both"/>
        <w:rPr>
          <w:rFonts w:ascii="Cambria" w:hAnsi="Cambria"/>
          <w:noProof/>
          <w:szCs w:val="24"/>
        </w:rPr>
      </w:pPr>
      <w:r w:rsidRPr="00485503">
        <w:rPr>
          <w:rFonts w:ascii="Cambria" w:hAnsi="Cambria"/>
          <w:noProof/>
          <w:szCs w:val="24"/>
        </w:rPr>
        <w:t xml:space="preserve">Triwahyuningsih, Susani. 2019. “Sistem Demokrasi Dalam Pemilihan Umum Secara Langsung Di Indonesia.” </w:t>
      </w:r>
      <w:r w:rsidRPr="00485503">
        <w:rPr>
          <w:rFonts w:ascii="Cambria" w:hAnsi="Cambria"/>
          <w:i/>
          <w:iCs/>
          <w:noProof/>
          <w:szCs w:val="24"/>
        </w:rPr>
        <w:t>Legal Standing : Jurnal Ilmu Hukum</w:t>
      </w:r>
      <w:r w:rsidRPr="00485503">
        <w:rPr>
          <w:rFonts w:ascii="Cambria" w:hAnsi="Cambria"/>
          <w:noProof/>
          <w:szCs w:val="24"/>
        </w:rPr>
        <w:t xml:space="preserve"> 3(2):62. doi: 10.24269/ls.v3i2.2023.</w:t>
      </w:r>
    </w:p>
    <w:p w14:paraId="6EC0AAF1" w14:textId="259E6BD2" w:rsidR="00E30712" w:rsidRPr="00E30712" w:rsidRDefault="00E30712" w:rsidP="00E30712">
      <w:pPr>
        <w:tabs>
          <w:tab w:val="left" w:pos="0"/>
        </w:tabs>
        <w:autoSpaceDE w:val="0"/>
        <w:autoSpaceDN w:val="0"/>
        <w:ind w:left="567" w:hanging="567"/>
        <w:jc w:val="both"/>
        <w:rPr>
          <w:rFonts w:ascii="Cambria" w:hAnsi="Cambria"/>
          <w:noProof/>
        </w:rPr>
      </w:pPr>
      <w:r w:rsidRPr="00485503">
        <w:rPr>
          <w:rFonts w:ascii="Cambria" w:hAnsi="Cambria"/>
          <w:noProof/>
          <w:szCs w:val="24"/>
        </w:rPr>
        <w:t xml:space="preserve">Wijana, Kadek, I. Made Sepud, and Anak Agung Sagung Laksmi Dewi. 2020. “Peradilan Tindak Pidana Korupsi Bagi Anggota Militer.” </w:t>
      </w:r>
      <w:r w:rsidRPr="00485503">
        <w:rPr>
          <w:rFonts w:ascii="Cambria" w:hAnsi="Cambria"/>
          <w:i/>
          <w:iCs/>
          <w:noProof/>
          <w:szCs w:val="24"/>
        </w:rPr>
        <w:t>Jurnal Analogi Hukum</w:t>
      </w:r>
      <w:r w:rsidRPr="00485503">
        <w:rPr>
          <w:rFonts w:ascii="Cambria" w:hAnsi="Cambria"/>
          <w:noProof/>
          <w:szCs w:val="24"/>
        </w:rPr>
        <w:t xml:space="preserve"> 2(3):404–8. doi: 10.22225/ah.2.3.2494.404-408</w:t>
      </w:r>
    </w:p>
    <w:p w14:paraId="06E6ED80" w14:textId="5D9D6AAE" w:rsidR="00065E47" w:rsidRPr="000245FE" w:rsidRDefault="000245FE" w:rsidP="00E30712">
      <w:pPr>
        <w:widowControl w:val="0"/>
        <w:tabs>
          <w:tab w:val="left" w:pos="0"/>
        </w:tabs>
        <w:autoSpaceDE w:val="0"/>
        <w:autoSpaceDN w:val="0"/>
        <w:adjustRightInd w:val="0"/>
        <w:jc w:val="both"/>
        <w:rPr>
          <w:rFonts w:ascii="Cambria" w:hAnsi="Cambria"/>
          <w:noProof/>
        </w:rPr>
      </w:pPr>
      <w:r w:rsidRPr="000245FE">
        <w:rPr>
          <w:rFonts w:ascii="Cambria" w:eastAsia="Cambria" w:hAnsi="Cambria" w:cs="Cambria"/>
        </w:rPr>
        <w:fldChar w:fldCharType="end"/>
      </w:r>
    </w:p>
    <w:sectPr w:rsidR="00065E47" w:rsidRPr="000245FE" w:rsidSect="009A7860">
      <w:headerReference w:type="even" r:id="rId9"/>
      <w:headerReference w:type="default" r:id="rId10"/>
      <w:footerReference w:type="even" r:id="rId11"/>
      <w:footerReference w:type="default" r:id="rId12"/>
      <w:headerReference w:type="first" r:id="rId13"/>
      <w:footerReference w:type="first" r:id="rId14"/>
      <w:footnotePr>
        <w:numFmt w:val="lowerLetter"/>
        <w:numRestart w:val="eachSect"/>
      </w:footnotePr>
      <w:type w:val="continuous"/>
      <w:pgSz w:w="12242" w:h="15842" w:code="1"/>
      <w:pgMar w:top="1418" w:right="1418" w:bottom="1418" w:left="1440" w:header="1134" w:footer="1134" w:gutter="0"/>
      <w:pgNumType w:start="9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A131" w14:textId="77777777" w:rsidR="009156AC" w:rsidRDefault="009156AC">
      <w:r>
        <w:separator/>
      </w:r>
    </w:p>
  </w:endnote>
  <w:endnote w:type="continuationSeparator" w:id="0">
    <w:p w14:paraId="07B5B407" w14:textId="77777777" w:rsidR="009156AC" w:rsidRDefault="0091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mple-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9143" w14:textId="66275475" w:rsidR="00343597" w:rsidRPr="003D5B84" w:rsidRDefault="00343597" w:rsidP="00843C01">
    <w:pPr>
      <w:pStyle w:val="Header"/>
      <w:tabs>
        <w:tab w:val="clear" w:pos="4320"/>
        <w:tab w:val="clear" w:pos="8640"/>
        <w:tab w:val="left" w:pos="2992"/>
        <w:tab w:val="right" w:pos="9356"/>
      </w:tabs>
      <w:spacing w:before="240"/>
    </w:pPr>
    <w:r>
      <w:rPr>
        <w:noProof/>
      </w:rPr>
      <mc:AlternateContent>
        <mc:Choice Requires="wps">
          <w:drawing>
            <wp:anchor distT="4294967295" distB="4294967295" distL="114300" distR="114300" simplePos="0" relativeHeight="251660288" behindDoc="0" locked="0" layoutInCell="1" allowOverlap="1" wp14:anchorId="2A6CB491" wp14:editId="2757E5A2">
              <wp:simplePos x="0" y="0"/>
              <wp:positionH relativeFrom="margin">
                <wp:posOffset>9525</wp:posOffset>
              </wp:positionH>
              <wp:positionV relativeFrom="paragraph">
                <wp:posOffset>97789</wp:posOffset>
              </wp:positionV>
              <wp:extent cx="5934075" cy="0"/>
              <wp:effectExtent l="0" t="0" r="9525"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0FBC9" id="Straight Connector 3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" strokecolor="black [3213]">
              <o:lock v:ext="edit" shapetype="f"/>
              <w10:wrap anchorx="margin"/>
            </v:line>
          </w:pict>
        </mc:Fallback>
      </mc:AlternateContent>
    </w:r>
    <w:r>
      <w:t>IJSSH</w:t>
    </w:r>
    <w:r>
      <w:tab/>
    </w:r>
    <w:r w:rsidRPr="003D5B84">
      <w:t xml:space="preserve"> </w:t>
    </w:r>
    <w:r>
      <w:tab/>
      <w:t>Vol.2 No.</w:t>
    </w:r>
    <w:r w:rsidR="00701F13">
      <w:t>3</w:t>
    </w:r>
    <w:r>
      <w:t xml:space="preserve">, </w:t>
    </w:r>
    <w:r w:rsidR="00701F13">
      <w:t>Oktober</w:t>
    </w:r>
    <w:r w:rsidR="00D645FB">
      <w:t xml:space="preserve"> </w:t>
    </w:r>
    <w:r>
      <w:t xml:space="preserve">2024, pages: </w:t>
    </w:r>
    <w:r w:rsidR="009A7860">
      <w:t>9</w:t>
    </w:r>
    <w:r w:rsidR="004E6CBB">
      <w:t>9</w:t>
    </w:r>
    <w:r>
      <w:t>-</w:t>
    </w:r>
    <w:r w:rsidR="006F1685">
      <w:t>1</w:t>
    </w:r>
    <w:r w:rsidR="009A7860">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32D5" w14:textId="258902E6" w:rsidR="00343597" w:rsidRPr="00332279" w:rsidRDefault="004E6CBB" w:rsidP="009003D8">
    <w:pPr>
      <w:pStyle w:val="Footer"/>
      <w:pBdr>
        <w:top w:val="single" w:sz="4" w:space="1" w:color="auto"/>
      </w:pBdr>
      <w:jc w:val="right"/>
      <w:rPr>
        <w:i/>
      </w:rPr>
    </w:pPr>
    <w:r w:rsidRPr="004E6CBB">
      <w:rPr>
        <w:i/>
        <w:iCs/>
      </w:rPr>
      <w:t>The Jurisdiction of the Corruption Eradication Commission</w:t>
    </w:r>
    <w:r w:rsidR="00CE7AC4">
      <w:rPr>
        <w:i/>
        <w:iCs/>
      </w:rPr>
      <w:t xml:space="preserve"> </w:t>
    </w:r>
    <w:r w:rsidR="00D645FB">
      <w:rPr>
        <w:i/>
        <w:iCs/>
      </w:rPr>
      <w:t>…</w:t>
    </w:r>
  </w:p>
  <w:p w14:paraId="17593D24" w14:textId="7FFB600E" w:rsidR="00D645FB" w:rsidRPr="00D645FB" w:rsidRDefault="00343597" w:rsidP="00D645FB">
    <w:pPr>
      <w:pStyle w:val="Footer"/>
      <w:pBdr>
        <w:top w:val="single" w:sz="4" w:space="1" w:color="auto"/>
      </w:pBdr>
      <w:jc w:val="right"/>
      <w:rPr>
        <w:i/>
      </w:rPr>
    </w:pPr>
    <w:r w:rsidRPr="00332279">
      <w:rPr>
        <w:i/>
      </w:rPr>
      <w:t>(</w:t>
    </w:r>
    <w:r w:rsidR="004E6CBB" w:rsidRPr="004E6CBB">
      <w:rPr>
        <w:bCs/>
        <w:i/>
        <w:iCs/>
      </w:rPr>
      <w:t>Zainudin Syah Pahlavi</w:t>
    </w:r>
    <w:r w:rsidR="00CE7AC4">
      <w:rPr>
        <w:rFonts w:eastAsia="Cambria"/>
        <w:i/>
        <w:iCs/>
      </w:rPr>
      <w:t xml:space="preserve"> </w:t>
    </w:r>
    <w:r w:rsidRPr="00332279">
      <w:rPr>
        <w:i/>
      </w:rPr>
      <w:t>et al., 2024)</w:t>
    </w:r>
  </w:p>
  <w:p w14:paraId="7ECADB68" w14:textId="77777777" w:rsidR="00D645FB" w:rsidRPr="00D645FB" w:rsidRDefault="00D645FB" w:rsidP="00D645FB">
    <w:pP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849D" w14:textId="77777777" w:rsidR="00343597" w:rsidRPr="00FA38EB" w:rsidRDefault="00343597">
    <w:pPr>
      <w:pStyle w:val="Footer"/>
      <w:jc w:val="center"/>
      <w:rPr>
        <w:sz w:val="2"/>
        <w:szCs w:val="2"/>
      </w:rPr>
    </w:pPr>
  </w:p>
  <w:p w14:paraId="60686595" w14:textId="4EB713A6" w:rsidR="00343597" w:rsidRPr="005B0A88" w:rsidRDefault="009A7860" w:rsidP="009C7995">
    <w:pPr>
      <w:pStyle w:val="Footer"/>
      <w:pBdr>
        <w:top w:val="single" w:sz="4" w:space="10" w:color="auto"/>
      </w:pBdr>
      <w:jc w:val="right"/>
    </w:pPr>
    <w:r>
      <w:t>9</w:t>
    </w:r>
    <w:r w:rsidR="00AB278F">
      <w:t>9</w:t>
    </w:r>
  </w:p>
  <w:p w14:paraId="200DEA36" w14:textId="77777777" w:rsidR="00343597" w:rsidRPr="00FF3FFC" w:rsidRDefault="00343597" w:rsidP="00CF5FF4">
    <w:pPr>
      <w:pStyle w:val="Footer"/>
      <w:pBdr>
        <w:top w:val="single" w:sz="4" w:space="10" w:color="auto"/>
      </w:pBd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02D6" w14:textId="77777777" w:rsidR="009156AC" w:rsidRDefault="009156AC">
      <w:r>
        <w:separator/>
      </w:r>
    </w:p>
  </w:footnote>
  <w:footnote w:type="continuationSeparator" w:id="0">
    <w:p w14:paraId="5030571E" w14:textId="77777777" w:rsidR="009156AC" w:rsidRDefault="009156AC">
      <w:r>
        <w:continuationSeparator/>
      </w:r>
    </w:p>
  </w:footnote>
  <w:footnote w:id="1">
    <w:p w14:paraId="01936ACA" w14:textId="692A21D6" w:rsidR="00343597" w:rsidRDefault="00343597" w:rsidP="00070703">
      <w:pPr>
        <w:pBdr>
          <w:top w:val="nil"/>
          <w:left w:val="nil"/>
          <w:bottom w:val="nil"/>
          <w:right w:val="nil"/>
          <w:between w:val="nil"/>
        </w:pBdr>
        <w:ind w:left="142" w:hanging="142"/>
        <w:rPr>
          <w:color w:val="000000"/>
        </w:rPr>
      </w:pPr>
      <w:r w:rsidRPr="00C84B39">
        <w:rPr>
          <w:rStyle w:val="FootnoteReference"/>
          <w:b/>
          <w:bCs/>
          <w:color w:val="FFC000"/>
        </w:rPr>
        <w:footnoteRef/>
      </w:r>
      <w:r>
        <w:rPr>
          <w:color w:val="000000"/>
        </w:rPr>
        <w:t xml:space="preserve"> </w:t>
      </w:r>
      <w:r>
        <w:rPr>
          <w:color w:val="000000"/>
        </w:rPr>
        <w:tab/>
      </w:r>
      <w:r w:rsidR="00070703" w:rsidRPr="00A47633">
        <w:rPr>
          <w:rFonts w:ascii="Cambria" w:eastAsia="Cambria" w:hAnsi="Cambria" w:cs="Cambria"/>
          <w:color w:val="000000"/>
          <w:sz w:val="18"/>
          <w:szCs w:val="18"/>
        </w:rPr>
        <w:t>Departement of Law, University 17 Agustus 1945, Surabaya, Indonesi</w:t>
      </w:r>
      <w:r w:rsidR="00070703">
        <w:rPr>
          <w:rFonts w:ascii="Cambria" w:eastAsia="Cambria" w:hAnsi="Cambria" w:cs="Cambria"/>
          <w:color w:val="000000"/>
          <w:sz w:val="18"/>
          <w:szCs w:val="18"/>
        </w:rPr>
        <w:t>a</w:t>
      </w:r>
    </w:p>
  </w:footnote>
  <w:footnote w:id="2">
    <w:p w14:paraId="0F746A01" w14:textId="557DC13C" w:rsidR="00343597" w:rsidRDefault="00343597" w:rsidP="00070703">
      <w:pPr>
        <w:pBdr>
          <w:top w:val="nil"/>
          <w:left w:val="nil"/>
          <w:bottom w:val="nil"/>
          <w:right w:val="nil"/>
          <w:between w:val="nil"/>
        </w:pBdr>
        <w:ind w:left="142" w:hanging="142"/>
        <w:rPr>
          <w:color w:val="000000"/>
        </w:rPr>
      </w:pPr>
      <w:r w:rsidRPr="00C84B39">
        <w:rPr>
          <w:rStyle w:val="FootnoteReference"/>
          <w:b/>
          <w:bCs/>
          <w:color w:val="FFC000"/>
        </w:rPr>
        <w:footnoteRef/>
      </w:r>
      <w:r w:rsidRPr="00C84B39">
        <w:rPr>
          <w:b/>
          <w:bCs/>
          <w:color w:val="FFC000"/>
        </w:rPr>
        <w:t xml:space="preserve"> </w:t>
      </w:r>
      <w:r w:rsidR="00070703" w:rsidRPr="00A47633">
        <w:rPr>
          <w:rFonts w:ascii="Cambria" w:eastAsia="Cambria" w:hAnsi="Cambria" w:cs="Cambria"/>
          <w:color w:val="000000"/>
          <w:sz w:val="18"/>
          <w:szCs w:val="18"/>
        </w:rPr>
        <w:t>Departement of Law, University 17 Agustus 1945, Surabaya,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BC59" w14:textId="77777777" w:rsidR="00343597" w:rsidRPr="003D5B84" w:rsidRDefault="00343597" w:rsidP="00F92294">
    <w:pPr>
      <w:pStyle w:val="Header"/>
      <w:framePr w:wrap="around" w:vAnchor="text" w:hAnchor="margin" w:xAlign="outside" w:y="1"/>
      <w:ind w:right="-194"/>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42</w:t>
    </w:r>
    <w:r w:rsidRPr="003D5B84">
      <w:rPr>
        <w:rStyle w:val="PageNumber"/>
      </w:rPr>
      <w:fldChar w:fldCharType="end"/>
    </w:r>
  </w:p>
  <w:p w14:paraId="0278627A" w14:textId="5698A6D9" w:rsidR="00343597" w:rsidRPr="003D5B84" w:rsidRDefault="00343597" w:rsidP="00843C01">
    <w:pPr>
      <w:pStyle w:val="Header"/>
      <w:tabs>
        <w:tab w:val="clear" w:pos="4320"/>
        <w:tab w:val="clear" w:pos="8640"/>
        <w:tab w:val="right" w:pos="851"/>
        <w:tab w:val="left" w:pos="3405"/>
        <w:tab w:val="right" w:pos="9356"/>
      </w:tabs>
      <w:spacing w:after="240"/>
    </w:pPr>
    <w:r>
      <w:rPr>
        <w:noProof/>
      </w:rPr>
      <mc:AlternateContent>
        <mc:Choice Requires="wps">
          <w:drawing>
            <wp:anchor distT="4294967295" distB="4294967295" distL="114300" distR="114300" simplePos="0" relativeHeight="251659264" behindDoc="0" locked="0" layoutInCell="1" allowOverlap="1" wp14:anchorId="21C354DC" wp14:editId="4A6C0C9F">
              <wp:simplePos x="0" y="0"/>
              <wp:positionH relativeFrom="margin">
                <wp:posOffset>9525</wp:posOffset>
              </wp:positionH>
              <wp:positionV relativeFrom="paragraph">
                <wp:posOffset>211455</wp:posOffset>
              </wp:positionV>
              <wp:extent cx="5976000" cy="0"/>
              <wp:effectExtent l="0" t="0" r="0" b="0"/>
              <wp:wrapNone/>
              <wp:docPr id="1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EF07D" id="Straight Connector 3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6.65pt" to="471.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" strokecolor="black [3213]">
              <o:lock v:ext="edit" shapetype="f"/>
              <w10:wrap anchorx="margin"/>
            </v:line>
          </w:pict>
        </mc:Fallback>
      </mc:AlternateContent>
    </w:r>
    <w:r>
      <w:t xml:space="preserve">       </w:t>
    </w:r>
    <w:r w:rsidRPr="003D5B84">
      <w:tab/>
    </w:r>
    <w:r>
      <w:tab/>
    </w:r>
    <w:r>
      <w:tab/>
      <w:t xml:space="preserve">e-ISSN: </w:t>
    </w:r>
    <w:r w:rsidRPr="00080D55">
      <w:t>2985-6469</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A6EC" w14:textId="77777777" w:rsidR="00343597" w:rsidRPr="003D5B84" w:rsidRDefault="00343597"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41</w:t>
    </w:r>
    <w:r w:rsidRPr="003D5B84">
      <w:rPr>
        <w:rStyle w:val="PageNumber"/>
      </w:rPr>
      <w:fldChar w:fldCharType="end"/>
    </w:r>
  </w:p>
  <w:p w14:paraId="008EA9EB" w14:textId="5D7907CF" w:rsidR="00343597" w:rsidRPr="003D5B84" w:rsidRDefault="00343597" w:rsidP="00A70B39">
    <w:pPr>
      <w:pStyle w:val="Header"/>
      <w:pBdr>
        <w:bottom w:val="single" w:sz="4" w:space="7" w:color="auto"/>
      </w:pBdr>
      <w:tabs>
        <w:tab w:val="clear" w:pos="4320"/>
        <w:tab w:val="clear" w:pos="8640"/>
        <w:tab w:val="left" w:pos="0"/>
        <w:tab w:val="center" w:pos="4301"/>
        <w:tab w:val="left" w:pos="7938"/>
      </w:tabs>
    </w:pPr>
    <w:r>
      <w:t>IJSSH</w:t>
    </w:r>
    <w:r w:rsidRPr="003D5B84">
      <w:tab/>
    </w:r>
    <w:r>
      <w:t xml:space="preserve">                        e-ISSN: </w:t>
    </w:r>
    <w:r w:rsidRPr="00080D55">
      <w:t>2985-6469</w:t>
    </w:r>
    <w:r w:rsidRPr="003D5B8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6416" w14:textId="77777777" w:rsidR="00343597" w:rsidRPr="00BE0F85" w:rsidRDefault="00343597" w:rsidP="00CF2C4C">
    <w:pPr>
      <w:spacing w:before="160"/>
      <w:ind w:left="1418"/>
      <w:rPr>
        <w:rFonts w:ascii="Ample-Bold" w:hAnsi="Ample-Bold" w:cs="Courier New"/>
        <w:b/>
        <w:sz w:val="26"/>
        <w:szCs w:val="26"/>
      </w:rPr>
    </w:pPr>
    <w:r w:rsidRPr="00BE0F85">
      <w:rPr>
        <w:rFonts w:ascii="Ample-Bold" w:hAnsi="Ample-Bold"/>
        <w:noProof/>
        <w:sz w:val="26"/>
        <w:szCs w:val="26"/>
      </w:rPr>
      <w:drawing>
        <wp:anchor distT="0" distB="0" distL="114300" distR="114300" simplePos="0" relativeHeight="251662336" behindDoc="0" locked="0" layoutInCell="1" allowOverlap="1" wp14:anchorId="72115236" wp14:editId="1D8BE412">
          <wp:simplePos x="0" y="0"/>
          <wp:positionH relativeFrom="column">
            <wp:posOffset>-4445</wp:posOffset>
          </wp:positionH>
          <wp:positionV relativeFrom="paragraph">
            <wp:posOffset>-14605</wp:posOffset>
          </wp:positionV>
          <wp:extent cx="683260" cy="902970"/>
          <wp:effectExtent l="0" t="0" r="254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IJSSH for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260" cy="902970"/>
                  </a:xfrm>
                  <a:prstGeom prst="rect">
                    <a:avLst/>
                  </a:prstGeom>
                </pic:spPr>
              </pic:pic>
            </a:graphicData>
          </a:graphic>
          <wp14:sizeRelH relativeFrom="page">
            <wp14:pctWidth>0</wp14:pctWidth>
          </wp14:sizeRelH>
          <wp14:sizeRelV relativeFrom="page">
            <wp14:pctHeight>0</wp14:pctHeight>
          </wp14:sizeRelV>
        </wp:anchor>
      </w:drawing>
    </w:r>
    <w:r w:rsidRPr="00BE0F85">
      <w:rPr>
        <w:rFonts w:ascii="Ample-Bold" w:hAnsi="Ample-Bold"/>
        <w:noProof/>
        <w:sz w:val="26"/>
        <w:szCs w:val="26"/>
      </w:rPr>
      <w:drawing>
        <wp:anchor distT="0" distB="0" distL="114300" distR="114300" simplePos="0" relativeHeight="251661312" behindDoc="0" locked="0" layoutInCell="1" allowOverlap="1" wp14:anchorId="1AB94329" wp14:editId="50522D59">
          <wp:simplePos x="0" y="0"/>
          <wp:positionH relativeFrom="column">
            <wp:posOffset>4989195</wp:posOffset>
          </wp:positionH>
          <wp:positionV relativeFrom="paragraph">
            <wp:posOffset>-24130</wp:posOffset>
          </wp:positionV>
          <wp:extent cx="1002030" cy="844550"/>
          <wp:effectExtent l="0" t="0" r="762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JSSH@1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2030" cy="844550"/>
                  </a:xfrm>
                  <a:prstGeom prst="rect">
                    <a:avLst/>
                  </a:prstGeom>
                </pic:spPr>
              </pic:pic>
            </a:graphicData>
          </a:graphic>
          <wp14:sizeRelH relativeFrom="page">
            <wp14:pctWidth>0</wp14:pctWidth>
          </wp14:sizeRelH>
          <wp14:sizeRelV relativeFrom="page">
            <wp14:pctHeight>0</wp14:pctHeight>
          </wp14:sizeRelV>
        </wp:anchor>
      </w:drawing>
    </w:r>
    <w:r w:rsidRPr="00BE0F85">
      <w:rPr>
        <w:rFonts w:ascii="Ample-Bold" w:hAnsi="Ample-Bold"/>
        <w:noProof/>
        <w:sz w:val="26"/>
        <w:szCs w:val="26"/>
      </w:rPr>
      <mc:AlternateContent>
        <mc:Choice Requires="wps">
          <w:drawing>
            <wp:anchor distT="0" distB="0" distL="114300" distR="114300" simplePos="0" relativeHeight="251657216" behindDoc="0" locked="0" layoutInCell="1" allowOverlap="1" wp14:anchorId="7BA284AC" wp14:editId="24C8B66B">
              <wp:simplePos x="0" y="0"/>
              <wp:positionH relativeFrom="margin">
                <wp:posOffset>-14605</wp:posOffset>
              </wp:positionH>
              <wp:positionV relativeFrom="paragraph">
                <wp:posOffset>-45085</wp:posOffset>
              </wp:positionV>
              <wp:extent cx="5983605" cy="0"/>
              <wp:effectExtent l="0" t="19050" r="55245" b="38100"/>
              <wp:wrapNone/>
              <wp:docPr id="7"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50800" cmpd="thickThin">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FE32348" id="Straight Connector 3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 from="-1.15pt,-3.55pt" to="47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" strokecolor="#ffc000" strokeweight="4pt">
              <v:stroke linestyle="thickThin"/>
              <w10:wrap anchorx="margin"/>
            </v:line>
          </w:pict>
        </mc:Fallback>
      </mc:AlternateContent>
    </w:r>
    <w:r w:rsidRPr="00BE0F85">
      <w:rPr>
        <w:rFonts w:ascii="Ample-Bold" w:hAnsi="Ample-Bold" w:cs="Courier New"/>
        <w:b/>
        <w:sz w:val="26"/>
        <w:szCs w:val="26"/>
      </w:rPr>
      <w:t>International Journal of Social Sciences and Humanities</w:t>
    </w:r>
  </w:p>
  <w:p w14:paraId="04EC90FD" w14:textId="6F569D24" w:rsidR="00343597" w:rsidRPr="00BE0F85" w:rsidRDefault="00343597" w:rsidP="002E30C7">
    <w:pPr>
      <w:ind w:left="1418"/>
      <w:rPr>
        <w:rFonts w:asciiTheme="majorHAnsi" w:hAnsiTheme="majorHAnsi" w:cs="Courier New"/>
        <w:sz w:val="24"/>
      </w:rPr>
    </w:pPr>
    <w:r w:rsidRPr="00BE0F85">
      <w:rPr>
        <w:rFonts w:asciiTheme="majorHAnsi" w:hAnsiTheme="majorHAnsi" w:cs="Courier New"/>
        <w:sz w:val="24"/>
      </w:rPr>
      <w:t xml:space="preserve">Vol. </w:t>
    </w:r>
    <w:r w:rsidR="00CE7AC4">
      <w:rPr>
        <w:rFonts w:asciiTheme="majorHAnsi" w:hAnsiTheme="majorHAnsi" w:cs="Courier New"/>
        <w:sz w:val="24"/>
      </w:rPr>
      <w:t>2</w:t>
    </w:r>
    <w:r w:rsidRPr="00BE0F85">
      <w:rPr>
        <w:rFonts w:asciiTheme="majorHAnsi" w:hAnsiTheme="majorHAnsi" w:cs="Courier New"/>
        <w:sz w:val="24"/>
      </w:rPr>
      <w:t xml:space="preserve"> No. </w:t>
    </w:r>
    <w:r w:rsidR="00CE7AC4">
      <w:rPr>
        <w:rFonts w:asciiTheme="majorHAnsi" w:hAnsiTheme="majorHAnsi" w:cs="Courier New"/>
        <w:sz w:val="24"/>
      </w:rPr>
      <w:t>3</w:t>
    </w:r>
    <w:r w:rsidRPr="00BE0F85">
      <w:rPr>
        <w:rFonts w:asciiTheme="majorHAnsi" w:hAnsiTheme="majorHAnsi" w:cs="Courier New"/>
        <w:sz w:val="24"/>
      </w:rPr>
      <w:t xml:space="preserve">, </w:t>
    </w:r>
    <w:r w:rsidR="00CE7AC4">
      <w:rPr>
        <w:rFonts w:asciiTheme="majorHAnsi" w:hAnsiTheme="majorHAnsi" w:cs="Courier New"/>
        <w:sz w:val="24"/>
      </w:rPr>
      <w:t>Oktober</w:t>
    </w:r>
    <w:r w:rsidRPr="00BE0F85">
      <w:rPr>
        <w:rFonts w:asciiTheme="majorHAnsi" w:hAnsiTheme="majorHAnsi" w:cs="Courier New"/>
        <w:sz w:val="24"/>
      </w:rPr>
      <w:t xml:space="preserve"> 2024, pages:</w:t>
    </w:r>
    <w:r w:rsidR="00DC4F01">
      <w:rPr>
        <w:rFonts w:asciiTheme="majorHAnsi" w:hAnsiTheme="majorHAnsi" w:cs="Courier New"/>
        <w:sz w:val="24"/>
      </w:rPr>
      <w:t xml:space="preserve"> </w:t>
    </w:r>
    <w:r w:rsidR="009A7860">
      <w:rPr>
        <w:rFonts w:asciiTheme="majorHAnsi" w:hAnsiTheme="majorHAnsi" w:cs="Courier New"/>
        <w:sz w:val="24"/>
      </w:rPr>
      <w:t>9</w:t>
    </w:r>
    <w:r w:rsidR="004E6CBB">
      <w:rPr>
        <w:rFonts w:asciiTheme="majorHAnsi" w:hAnsiTheme="majorHAnsi" w:cs="Courier New"/>
        <w:sz w:val="24"/>
      </w:rPr>
      <w:t>9</w:t>
    </w:r>
    <w:r w:rsidRPr="00BE0F85">
      <w:rPr>
        <w:rFonts w:asciiTheme="majorHAnsi" w:hAnsiTheme="majorHAnsi" w:cs="Courier New"/>
        <w:sz w:val="24"/>
      </w:rPr>
      <w:t>-</w:t>
    </w:r>
    <w:r w:rsidR="006F1685">
      <w:rPr>
        <w:rFonts w:asciiTheme="majorHAnsi" w:hAnsiTheme="majorHAnsi" w:cs="Courier New"/>
        <w:sz w:val="24"/>
      </w:rPr>
      <w:t>1</w:t>
    </w:r>
    <w:r w:rsidR="009A7860">
      <w:rPr>
        <w:rFonts w:asciiTheme="majorHAnsi" w:hAnsiTheme="majorHAnsi" w:cs="Courier New"/>
        <w:sz w:val="24"/>
      </w:rPr>
      <w:t>04</w:t>
    </w:r>
  </w:p>
  <w:p w14:paraId="0282EA18" w14:textId="68B86E3E" w:rsidR="00343597" w:rsidRPr="00BE0F85" w:rsidRDefault="00343597" w:rsidP="002E30C7">
    <w:pPr>
      <w:ind w:left="1418"/>
      <w:rPr>
        <w:rFonts w:asciiTheme="majorHAnsi" w:hAnsiTheme="majorHAnsi" w:cs="Courier New"/>
        <w:sz w:val="24"/>
      </w:rPr>
    </w:pPr>
    <w:r w:rsidRPr="00BE0F85">
      <w:rPr>
        <w:rFonts w:asciiTheme="majorHAnsi" w:hAnsiTheme="majorHAnsi" w:cs="Courier New"/>
        <w:sz w:val="24"/>
      </w:rPr>
      <w:t>e-ISSN: 2985-6469</w:t>
    </w:r>
  </w:p>
  <w:p w14:paraId="735B4653" w14:textId="56864A90" w:rsidR="00343597" w:rsidRPr="001A41F2" w:rsidRDefault="00343597" w:rsidP="002E30C7">
    <w:pPr>
      <w:spacing w:after="240"/>
      <w:ind w:left="1418"/>
      <w:rPr>
        <w:rFonts w:ascii="Cambria" w:hAnsi="Cambria"/>
        <w:szCs w:val="16"/>
      </w:rPr>
    </w:pPr>
    <w:r w:rsidRPr="001A41F2">
      <w:rPr>
        <w:rFonts w:ascii="Cambria" w:hAnsi="Cambria"/>
        <w:noProof/>
        <w:sz w:val="22"/>
        <w:szCs w:val="22"/>
      </w:rPr>
      <mc:AlternateContent>
        <mc:Choice Requires="wps">
          <w:drawing>
            <wp:anchor distT="0" distB="0" distL="114300" distR="114300" simplePos="0" relativeHeight="251658240" behindDoc="0" locked="0" layoutInCell="1" allowOverlap="1" wp14:anchorId="430AEB22" wp14:editId="14EB3D0A">
              <wp:simplePos x="0" y="0"/>
              <wp:positionH relativeFrom="margin">
                <wp:posOffset>-14605</wp:posOffset>
              </wp:positionH>
              <wp:positionV relativeFrom="paragraph">
                <wp:posOffset>268710</wp:posOffset>
              </wp:positionV>
              <wp:extent cx="5983605" cy="0"/>
              <wp:effectExtent l="0" t="19050" r="55245" b="38100"/>
              <wp:wrapNone/>
              <wp:docPr id="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50800" cmpd="thinThick">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428424D"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 from="-1.15pt,21.15pt" to="470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" strokecolor="#ffc000" strokeweight="4pt">
              <v:stroke linestyle="thinThick"/>
              <w10:wrap anchorx="margin"/>
            </v:line>
          </w:pict>
        </mc:Fallback>
      </mc:AlternateContent>
    </w:r>
    <w:bookmarkStart w:id="3" w:name="_Hlk165411068"/>
    <w:r w:rsidRPr="001A41F2">
      <w:rPr>
        <w:rFonts w:ascii="Cambria" w:hAnsi="Cambria"/>
        <w:noProof/>
        <w:sz w:val="22"/>
        <w:szCs w:val="22"/>
      </w:rPr>
      <w:t>https://doi.org/10.55681/ijssh.v2i</w:t>
    </w:r>
    <w:r w:rsidR="00A52DA3">
      <w:rPr>
        <w:rFonts w:ascii="Cambria" w:hAnsi="Cambria"/>
        <w:noProof/>
        <w:sz w:val="22"/>
        <w:szCs w:val="22"/>
      </w:rPr>
      <w:t>2</w:t>
    </w:r>
    <w:r w:rsidRPr="001A41F2">
      <w:rPr>
        <w:rFonts w:ascii="Cambria" w:hAnsi="Cambria"/>
        <w:noProof/>
        <w:sz w:val="22"/>
        <w:szCs w:val="22"/>
      </w:rPr>
      <w:t>.1</w:t>
    </w:r>
    <w:bookmarkEnd w:id="3"/>
    <w:r w:rsidR="00BB7F5B">
      <w:rPr>
        <w:rFonts w:ascii="Cambria" w:hAnsi="Cambria"/>
        <w:noProof/>
        <w:sz w:val="22"/>
        <w:szCs w:val="22"/>
      </w:rPr>
      <w:t>5</w:t>
    </w:r>
    <w:r w:rsidR="0093226B">
      <w:rPr>
        <w:rFonts w:ascii="Cambria" w:hAnsi="Cambria"/>
        <w:noProof/>
        <w:sz w:val="22"/>
        <w:szCs w:val="22"/>
      </w:rPr>
      <w:t>0</w:t>
    </w:r>
    <w:r w:rsidR="00BB7F5B">
      <w:rPr>
        <w:rFonts w:ascii="Cambria" w:hAnsi="Cambria"/>
        <w:noProof/>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1E5"/>
    <w:multiLevelType w:val="hybridMultilevel"/>
    <w:tmpl w:val="77CE74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295BDD"/>
    <w:multiLevelType w:val="hybridMultilevel"/>
    <w:tmpl w:val="FC981A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5CA204DA"/>
    <w:multiLevelType w:val="hybridMultilevel"/>
    <w:tmpl w:val="B024F0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 w15:restartNumberingAfterBreak="0">
    <w:nsid w:val="69D2628A"/>
    <w:multiLevelType w:val="hybridMultilevel"/>
    <w:tmpl w:val="E0B6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487748462">
    <w:abstractNumId w:val="4"/>
  </w:num>
  <w:num w:numId="2" w16cid:durableId="1775439236">
    <w:abstractNumId w:val="2"/>
  </w:num>
  <w:num w:numId="3" w16cid:durableId="311758048">
    <w:abstractNumId w:val="6"/>
  </w:num>
  <w:num w:numId="4" w16cid:durableId="1183938997">
    <w:abstractNumId w:val="3"/>
  </w:num>
  <w:num w:numId="5" w16cid:durableId="1402945573">
    <w:abstractNumId w:val="0"/>
  </w:num>
  <w:num w:numId="6" w16cid:durableId="1874682722">
    <w:abstractNumId w:val="5"/>
  </w:num>
  <w:num w:numId="7" w16cid:durableId="8894152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093"/>
    <w:rsid w:val="000013CF"/>
    <w:rsid w:val="00002882"/>
    <w:rsid w:val="00003436"/>
    <w:rsid w:val="0000385F"/>
    <w:rsid w:val="0000563C"/>
    <w:rsid w:val="00005EFC"/>
    <w:rsid w:val="00006142"/>
    <w:rsid w:val="00007744"/>
    <w:rsid w:val="000106D0"/>
    <w:rsid w:val="00012CEF"/>
    <w:rsid w:val="00014633"/>
    <w:rsid w:val="00015F2A"/>
    <w:rsid w:val="00017858"/>
    <w:rsid w:val="00017CB1"/>
    <w:rsid w:val="00021949"/>
    <w:rsid w:val="000245FE"/>
    <w:rsid w:val="00027142"/>
    <w:rsid w:val="000278FB"/>
    <w:rsid w:val="000279BE"/>
    <w:rsid w:val="00034200"/>
    <w:rsid w:val="00034C84"/>
    <w:rsid w:val="00036D6B"/>
    <w:rsid w:val="00037A68"/>
    <w:rsid w:val="000416A3"/>
    <w:rsid w:val="000437AE"/>
    <w:rsid w:val="000453A4"/>
    <w:rsid w:val="000474E3"/>
    <w:rsid w:val="00047710"/>
    <w:rsid w:val="000523C5"/>
    <w:rsid w:val="00053FB7"/>
    <w:rsid w:val="0006020A"/>
    <w:rsid w:val="00060330"/>
    <w:rsid w:val="00060F5C"/>
    <w:rsid w:val="00061D77"/>
    <w:rsid w:val="00062720"/>
    <w:rsid w:val="00065E47"/>
    <w:rsid w:val="00066063"/>
    <w:rsid w:val="00067BAA"/>
    <w:rsid w:val="00070703"/>
    <w:rsid w:val="00070F21"/>
    <w:rsid w:val="0007154C"/>
    <w:rsid w:val="0007236F"/>
    <w:rsid w:val="00073635"/>
    <w:rsid w:val="00076C16"/>
    <w:rsid w:val="000776D4"/>
    <w:rsid w:val="00080CCD"/>
    <w:rsid w:val="00080D55"/>
    <w:rsid w:val="000830A2"/>
    <w:rsid w:val="00083B9D"/>
    <w:rsid w:val="00083DD6"/>
    <w:rsid w:val="0008463A"/>
    <w:rsid w:val="00085121"/>
    <w:rsid w:val="00086551"/>
    <w:rsid w:val="000877AC"/>
    <w:rsid w:val="00087876"/>
    <w:rsid w:val="00087AF7"/>
    <w:rsid w:val="00090B78"/>
    <w:rsid w:val="00093380"/>
    <w:rsid w:val="00094EB8"/>
    <w:rsid w:val="00095C3E"/>
    <w:rsid w:val="00096883"/>
    <w:rsid w:val="000973CC"/>
    <w:rsid w:val="00097958"/>
    <w:rsid w:val="00097B16"/>
    <w:rsid w:val="00097E2D"/>
    <w:rsid w:val="000A15DA"/>
    <w:rsid w:val="000A58C5"/>
    <w:rsid w:val="000A592D"/>
    <w:rsid w:val="000A643C"/>
    <w:rsid w:val="000A7ACA"/>
    <w:rsid w:val="000B0641"/>
    <w:rsid w:val="000B5480"/>
    <w:rsid w:val="000B682B"/>
    <w:rsid w:val="000B79E0"/>
    <w:rsid w:val="000C03DA"/>
    <w:rsid w:val="000C1942"/>
    <w:rsid w:val="000C4B17"/>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86D"/>
    <w:rsid w:val="00104BF1"/>
    <w:rsid w:val="00105140"/>
    <w:rsid w:val="00106F02"/>
    <w:rsid w:val="001078A8"/>
    <w:rsid w:val="00107904"/>
    <w:rsid w:val="00111543"/>
    <w:rsid w:val="001129DE"/>
    <w:rsid w:val="0011369D"/>
    <w:rsid w:val="00113F18"/>
    <w:rsid w:val="001140EF"/>
    <w:rsid w:val="00114470"/>
    <w:rsid w:val="00117326"/>
    <w:rsid w:val="00117C85"/>
    <w:rsid w:val="00121C37"/>
    <w:rsid w:val="00122833"/>
    <w:rsid w:val="00124C35"/>
    <w:rsid w:val="00125C41"/>
    <w:rsid w:val="00126B1A"/>
    <w:rsid w:val="0013179E"/>
    <w:rsid w:val="00131A6C"/>
    <w:rsid w:val="00131E4C"/>
    <w:rsid w:val="00133B59"/>
    <w:rsid w:val="00136716"/>
    <w:rsid w:val="0013674E"/>
    <w:rsid w:val="00137465"/>
    <w:rsid w:val="00137E25"/>
    <w:rsid w:val="00137F36"/>
    <w:rsid w:val="00142C40"/>
    <w:rsid w:val="001434C3"/>
    <w:rsid w:val="001441CB"/>
    <w:rsid w:val="00145453"/>
    <w:rsid w:val="0014611F"/>
    <w:rsid w:val="00146861"/>
    <w:rsid w:val="001517E4"/>
    <w:rsid w:val="00151E7C"/>
    <w:rsid w:val="00153387"/>
    <w:rsid w:val="00154084"/>
    <w:rsid w:val="00154C55"/>
    <w:rsid w:val="00157C06"/>
    <w:rsid w:val="00161845"/>
    <w:rsid w:val="00162849"/>
    <w:rsid w:val="00165D0E"/>
    <w:rsid w:val="00166052"/>
    <w:rsid w:val="00166432"/>
    <w:rsid w:val="001669CC"/>
    <w:rsid w:val="00167012"/>
    <w:rsid w:val="001671A8"/>
    <w:rsid w:val="0016761A"/>
    <w:rsid w:val="00167BE2"/>
    <w:rsid w:val="00171713"/>
    <w:rsid w:val="0017238E"/>
    <w:rsid w:val="00172E96"/>
    <w:rsid w:val="00177E2C"/>
    <w:rsid w:val="00180992"/>
    <w:rsid w:val="00180FD2"/>
    <w:rsid w:val="00180FD4"/>
    <w:rsid w:val="00181509"/>
    <w:rsid w:val="00181965"/>
    <w:rsid w:val="001835CE"/>
    <w:rsid w:val="00183CD4"/>
    <w:rsid w:val="00184462"/>
    <w:rsid w:val="00185202"/>
    <w:rsid w:val="00187B69"/>
    <w:rsid w:val="0019050C"/>
    <w:rsid w:val="00192E8C"/>
    <w:rsid w:val="0019391D"/>
    <w:rsid w:val="001941BA"/>
    <w:rsid w:val="00195579"/>
    <w:rsid w:val="001964E7"/>
    <w:rsid w:val="001A0839"/>
    <w:rsid w:val="001A33EF"/>
    <w:rsid w:val="001A41F2"/>
    <w:rsid w:val="001A58B2"/>
    <w:rsid w:val="001B2439"/>
    <w:rsid w:val="001B2EF9"/>
    <w:rsid w:val="001B3CD5"/>
    <w:rsid w:val="001B4AB3"/>
    <w:rsid w:val="001B5250"/>
    <w:rsid w:val="001B5719"/>
    <w:rsid w:val="001B621C"/>
    <w:rsid w:val="001B64D0"/>
    <w:rsid w:val="001B7481"/>
    <w:rsid w:val="001B7915"/>
    <w:rsid w:val="001C0FE6"/>
    <w:rsid w:val="001C19EB"/>
    <w:rsid w:val="001C1DDC"/>
    <w:rsid w:val="001C6EE0"/>
    <w:rsid w:val="001C7AC5"/>
    <w:rsid w:val="001D04CA"/>
    <w:rsid w:val="001D0CB2"/>
    <w:rsid w:val="001D19C3"/>
    <w:rsid w:val="001D218B"/>
    <w:rsid w:val="001D2AB8"/>
    <w:rsid w:val="001D4B4F"/>
    <w:rsid w:val="001D7C0D"/>
    <w:rsid w:val="001E1922"/>
    <w:rsid w:val="001E2071"/>
    <w:rsid w:val="001E4E0D"/>
    <w:rsid w:val="001E5CFB"/>
    <w:rsid w:val="001E608B"/>
    <w:rsid w:val="001E69C1"/>
    <w:rsid w:val="001E7DCD"/>
    <w:rsid w:val="001E7FFA"/>
    <w:rsid w:val="001F0AFC"/>
    <w:rsid w:val="001F470F"/>
    <w:rsid w:val="001F4ACD"/>
    <w:rsid w:val="001F6170"/>
    <w:rsid w:val="001F63D7"/>
    <w:rsid w:val="001F6ACF"/>
    <w:rsid w:val="001F6FB1"/>
    <w:rsid w:val="00204248"/>
    <w:rsid w:val="00204431"/>
    <w:rsid w:val="0020464A"/>
    <w:rsid w:val="00204A25"/>
    <w:rsid w:val="0020608E"/>
    <w:rsid w:val="002073B6"/>
    <w:rsid w:val="002076CA"/>
    <w:rsid w:val="002079DD"/>
    <w:rsid w:val="0021228F"/>
    <w:rsid w:val="00212DCC"/>
    <w:rsid w:val="002141C1"/>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98"/>
    <w:rsid w:val="00240DB7"/>
    <w:rsid w:val="0024180A"/>
    <w:rsid w:val="0024268D"/>
    <w:rsid w:val="00245F43"/>
    <w:rsid w:val="0024646F"/>
    <w:rsid w:val="00246556"/>
    <w:rsid w:val="00250442"/>
    <w:rsid w:val="00250A66"/>
    <w:rsid w:val="00254EC2"/>
    <w:rsid w:val="002550AB"/>
    <w:rsid w:val="00256322"/>
    <w:rsid w:val="002575A8"/>
    <w:rsid w:val="0026044D"/>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6D8E"/>
    <w:rsid w:val="00297B35"/>
    <w:rsid w:val="002A0772"/>
    <w:rsid w:val="002A2115"/>
    <w:rsid w:val="002A65EF"/>
    <w:rsid w:val="002A742D"/>
    <w:rsid w:val="002A75B8"/>
    <w:rsid w:val="002B0601"/>
    <w:rsid w:val="002B10C7"/>
    <w:rsid w:val="002B2F8F"/>
    <w:rsid w:val="002B66EF"/>
    <w:rsid w:val="002B692B"/>
    <w:rsid w:val="002B6EC9"/>
    <w:rsid w:val="002B7609"/>
    <w:rsid w:val="002C0665"/>
    <w:rsid w:val="002C2689"/>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137A"/>
    <w:rsid w:val="002F267D"/>
    <w:rsid w:val="002F3D30"/>
    <w:rsid w:val="002F41A4"/>
    <w:rsid w:val="002F48E3"/>
    <w:rsid w:val="002F4A0F"/>
    <w:rsid w:val="002F6BBA"/>
    <w:rsid w:val="002F6DFA"/>
    <w:rsid w:val="002F7C5F"/>
    <w:rsid w:val="002F7D7E"/>
    <w:rsid w:val="0030038F"/>
    <w:rsid w:val="00302D7F"/>
    <w:rsid w:val="00305125"/>
    <w:rsid w:val="00306442"/>
    <w:rsid w:val="003069FB"/>
    <w:rsid w:val="00312C0C"/>
    <w:rsid w:val="00313AA2"/>
    <w:rsid w:val="003200C9"/>
    <w:rsid w:val="003209C7"/>
    <w:rsid w:val="00320C05"/>
    <w:rsid w:val="0032306D"/>
    <w:rsid w:val="00326170"/>
    <w:rsid w:val="003263E9"/>
    <w:rsid w:val="00326D35"/>
    <w:rsid w:val="00331183"/>
    <w:rsid w:val="00332063"/>
    <w:rsid w:val="00332279"/>
    <w:rsid w:val="00332CEF"/>
    <w:rsid w:val="00333AB9"/>
    <w:rsid w:val="00333C06"/>
    <w:rsid w:val="0033459B"/>
    <w:rsid w:val="00335BE8"/>
    <w:rsid w:val="00337C87"/>
    <w:rsid w:val="0034104E"/>
    <w:rsid w:val="0034265F"/>
    <w:rsid w:val="00343597"/>
    <w:rsid w:val="00343A49"/>
    <w:rsid w:val="00344055"/>
    <w:rsid w:val="00346441"/>
    <w:rsid w:val="003475EC"/>
    <w:rsid w:val="0035076B"/>
    <w:rsid w:val="00352BEB"/>
    <w:rsid w:val="00353885"/>
    <w:rsid w:val="00361EB1"/>
    <w:rsid w:val="003629D1"/>
    <w:rsid w:val="00362D59"/>
    <w:rsid w:val="003637CE"/>
    <w:rsid w:val="00367C41"/>
    <w:rsid w:val="003715EC"/>
    <w:rsid w:val="003725A2"/>
    <w:rsid w:val="00372CC5"/>
    <w:rsid w:val="00373170"/>
    <w:rsid w:val="00373753"/>
    <w:rsid w:val="00376867"/>
    <w:rsid w:val="00376A96"/>
    <w:rsid w:val="003772AC"/>
    <w:rsid w:val="00381E56"/>
    <w:rsid w:val="003826FF"/>
    <w:rsid w:val="00382701"/>
    <w:rsid w:val="00384AD4"/>
    <w:rsid w:val="00393D9D"/>
    <w:rsid w:val="00393E61"/>
    <w:rsid w:val="00396D02"/>
    <w:rsid w:val="00397AC9"/>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1009"/>
    <w:rsid w:val="003C1E29"/>
    <w:rsid w:val="003C2B5E"/>
    <w:rsid w:val="003C3E42"/>
    <w:rsid w:val="003C4B05"/>
    <w:rsid w:val="003C524A"/>
    <w:rsid w:val="003C55C1"/>
    <w:rsid w:val="003C72E2"/>
    <w:rsid w:val="003D07D2"/>
    <w:rsid w:val="003D5B84"/>
    <w:rsid w:val="003D79CF"/>
    <w:rsid w:val="003E0207"/>
    <w:rsid w:val="003E304D"/>
    <w:rsid w:val="003E3BAD"/>
    <w:rsid w:val="003E4AA5"/>
    <w:rsid w:val="003F0964"/>
    <w:rsid w:val="003F18A1"/>
    <w:rsid w:val="003F1D93"/>
    <w:rsid w:val="003F2EB6"/>
    <w:rsid w:val="003F4897"/>
    <w:rsid w:val="003F6587"/>
    <w:rsid w:val="00402C7D"/>
    <w:rsid w:val="00403A74"/>
    <w:rsid w:val="00405700"/>
    <w:rsid w:val="00407351"/>
    <w:rsid w:val="00407C2D"/>
    <w:rsid w:val="004106DF"/>
    <w:rsid w:val="00411A71"/>
    <w:rsid w:val="00411C0C"/>
    <w:rsid w:val="0041359A"/>
    <w:rsid w:val="0041399A"/>
    <w:rsid w:val="00414535"/>
    <w:rsid w:val="00414EA0"/>
    <w:rsid w:val="00415C0C"/>
    <w:rsid w:val="00420D64"/>
    <w:rsid w:val="0042253C"/>
    <w:rsid w:val="004230A6"/>
    <w:rsid w:val="00423597"/>
    <w:rsid w:val="00424E85"/>
    <w:rsid w:val="00425BE9"/>
    <w:rsid w:val="00425F0C"/>
    <w:rsid w:val="00427072"/>
    <w:rsid w:val="00427B86"/>
    <w:rsid w:val="0043098B"/>
    <w:rsid w:val="00434ED8"/>
    <w:rsid w:val="0043585C"/>
    <w:rsid w:val="004373D5"/>
    <w:rsid w:val="00441664"/>
    <w:rsid w:val="00441F35"/>
    <w:rsid w:val="00443205"/>
    <w:rsid w:val="004439D2"/>
    <w:rsid w:val="00445E21"/>
    <w:rsid w:val="004503E9"/>
    <w:rsid w:val="0045122D"/>
    <w:rsid w:val="004532CB"/>
    <w:rsid w:val="00453463"/>
    <w:rsid w:val="004550E4"/>
    <w:rsid w:val="004558C1"/>
    <w:rsid w:val="00455F8D"/>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797E"/>
    <w:rsid w:val="00487DD3"/>
    <w:rsid w:val="004902C8"/>
    <w:rsid w:val="004905D4"/>
    <w:rsid w:val="004907F7"/>
    <w:rsid w:val="00492E44"/>
    <w:rsid w:val="004947B9"/>
    <w:rsid w:val="00494BE8"/>
    <w:rsid w:val="0049514C"/>
    <w:rsid w:val="00496AF6"/>
    <w:rsid w:val="00496DFD"/>
    <w:rsid w:val="004A0189"/>
    <w:rsid w:val="004A09B0"/>
    <w:rsid w:val="004A0C8B"/>
    <w:rsid w:val="004A187E"/>
    <w:rsid w:val="004A335F"/>
    <w:rsid w:val="004A3585"/>
    <w:rsid w:val="004A3C68"/>
    <w:rsid w:val="004A3F3D"/>
    <w:rsid w:val="004A4FDB"/>
    <w:rsid w:val="004A5FC0"/>
    <w:rsid w:val="004A7C83"/>
    <w:rsid w:val="004B15EE"/>
    <w:rsid w:val="004B1FFE"/>
    <w:rsid w:val="004B2D84"/>
    <w:rsid w:val="004B2F8C"/>
    <w:rsid w:val="004B4EDE"/>
    <w:rsid w:val="004B560E"/>
    <w:rsid w:val="004B589F"/>
    <w:rsid w:val="004B5D34"/>
    <w:rsid w:val="004B661B"/>
    <w:rsid w:val="004B76DC"/>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6CBB"/>
    <w:rsid w:val="004E7169"/>
    <w:rsid w:val="004F0C7C"/>
    <w:rsid w:val="004F101E"/>
    <w:rsid w:val="004F21DC"/>
    <w:rsid w:val="004F2A11"/>
    <w:rsid w:val="004F3166"/>
    <w:rsid w:val="004F3208"/>
    <w:rsid w:val="004F4D4A"/>
    <w:rsid w:val="004F54D2"/>
    <w:rsid w:val="004F6193"/>
    <w:rsid w:val="00501713"/>
    <w:rsid w:val="0050281D"/>
    <w:rsid w:val="00505F41"/>
    <w:rsid w:val="0050794C"/>
    <w:rsid w:val="0051075B"/>
    <w:rsid w:val="00511236"/>
    <w:rsid w:val="00511539"/>
    <w:rsid w:val="00512DE0"/>
    <w:rsid w:val="0051361F"/>
    <w:rsid w:val="00515455"/>
    <w:rsid w:val="00515C8B"/>
    <w:rsid w:val="00516317"/>
    <w:rsid w:val="005174E6"/>
    <w:rsid w:val="005174FF"/>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6C5D"/>
    <w:rsid w:val="00560950"/>
    <w:rsid w:val="00563102"/>
    <w:rsid w:val="00566DDC"/>
    <w:rsid w:val="00572013"/>
    <w:rsid w:val="005722C8"/>
    <w:rsid w:val="00573257"/>
    <w:rsid w:val="00575037"/>
    <w:rsid w:val="005778F7"/>
    <w:rsid w:val="00577A3F"/>
    <w:rsid w:val="005805DF"/>
    <w:rsid w:val="00580BF2"/>
    <w:rsid w:val="0058326E"/>
    <w:rsid w:val="005833B8"/>
    <w:rsid w:val="00583A03"/>
    <w:rsid w:val="005841BA"/>
    <w:rsid w:val="00584301"/>
    <w:rsid w:val="005877F2"/>
    <w:rsid w:val="005911E5"/>
    <w:rsid w:val="00591ECF"/>
    <w:rsid w:val="00592442"/>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5A12"/>
    <w:rsid w:val="005A6B87"/>
    <w:rsid w:val="005B0825"/>
    <w:rsid w:val="005B0A84"/>
    <w:rsid w:val="005B0A88"/>
    <w:rsid w:val="005B2D16"/>
    <w:rsid w:val="005B4DAF"/>
    <w:rsid w:val="005B4FF3"/>
    <w:rsid w:val="005B56A0"/>
    <w:rsid w:val="005B5788"/>
    <w:rsid w:val="005B60D5"/>
    <w:rsid w:val="005B693A"/>
    <w:rsid w:val="005B6AAE"/>
    <w:rsid w:val="005B7CAF"/>
    <w:rsid w:val="005C11D6"/>
    <w:rsid w:val="005C12EA"/>
    <w:rsid w:val="005C1759"/>
    <w:rsid w:val="005C234E"/>
    <w:rsid w:val="005C512F"/>
    <w:rsid w:val="005C6510"/>
    <w:rsid w:val="005C7360"/>
    <w:rsid w:val="005C7595"/>
    <w:rsid w:val="005D02EE"/>
    <w:rsid w:val="005D0C1B"/>
    <w:rsid w:val="005D210E"/>
    <w:rsid w:val="005D3D27"/>
    <w:rsid w:val="005D464B"/>
    <w:rsid w:val="005D7D3A"/>
    <w:rsid w:val="005D7EB1"/>
    <w:rsid w:val="005E0E3A"/>
    <w:rsid w:val="005E6EF7"/>
    <w:rsid w:val="005E736A"/>
    <w:rsid w:val="005E75FC"/>
    <w:rsid w:val="005F042D"/>
    <w:rsid w:val="005F0881"/>
    <w:rsid w:val="005F3D1C"/>
    <w:rsid w:val="005F534C"/>
    <w:rsid w:val="005F75F8"/>
    <w:rsid w:val="006044C7"/>
    <w:rsid w:val="006077DA"/>
    <w:rsid w:val="006123B6"/>
    <w:rsid w:val="00612835"/>
    <w:rsid w:val="00613052"/>
    <w:rsid w:val="00613977"/>
    <w:rsid w:val="006147F1"/>
    <w:rsid w:val="0061627D"/>
    <w:rsid w:val="00616614"/>
    <w:rsid w:val="006206C7"/>
    <w:rsid w:val="006212FA"/>
    <w:rsid w:val="00621A98"/>
    <w:rsid w:val="00622118"/>
    <w:rsid w:val="00622EC4"/>
    <w:rsid w:val="0062488B"/>
    <w:rsid w:val="0063104B"/>
    <w:rsid w:val="006327F1"/>
    <w:rsid w:val="00636167"/>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6386"/>
    <w:rsid w:val="00667116"/>
    <w:rsid w:val="00671669"/>
    <w:rsid w:val="006719D8"/>
    <w:rsid w:val="0067364F"/>
    <w:rsid w:val="00675D81"/>
    <w:rsid w:val="00676455"/>
    <w:rsid w:val="00676EB9"/>
    <w:rsid w:val="006807F6"/>
    <w:rsid w:val="00680CDD"/>
    <w:rsid w:val="00681951"/>
    <w:rsid w:val="00682B00"/>
    <w:rsid w:val="00685AA5"/>
    <w:rsid w:val="00685FB4"/>
    <w:rsid w:val="006863DA"/>
    <w:rsid w:val="006877D2"/>
    <w:rsid w:val="00687CA7"/>
    <w:rsid w:val="00687D3A"/>
    <w:rsid w:val="006925E2"/>
    <w:rsid w:val="00694E32"/>
    <w:rsid w:val="006971E6"/>
    <w:rsid w:val="006975BC"/>
    <w:rsid w:val="006A0231"/>
    <w:rsid w:val="006A090C"/>
    <w:rsid w:val="006A1384"/>
    <w:rsid w:val="006A34DA"/>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D29E6"/>
    <w:rsid w:val="006D2EAB"/>
    <w:rsid w:val="006D449D"/>
    <w:rsid w:val="006D5851"/>
    <w:rsid w:val="006D5DAA"/>
    <w:rsid w:val="006D60D9"/>
    <w:rsid w:val="006D6178"/>
    <w:rsid w:val="006E361D"/>
    <w:rsid w:val="006E3810"/>
    <w:rsid w:val="006E44B1"/>
    <w:rsid w:val="006E492E"/>
    <w:rsid w:val="006E4C9D"/>
    <w:rsid w:val="006E5657"/>
    <w:rsid w:val="006E5DCF"/>
    <w:rsid w:val="006E669C"/>
    <w:rsid w:val="006E7824"/>
    <w:rsid w:val="006E786F"/>
    <w:rsid w:val="006E7F2D"/>
    <w:rsid w:val="006F01C3"/>
    <w:rsid w:val="006F0D11"/>
    <w:rsid w:val="006F0E5B"/>
    <w:rsid w:val="006F1685"/>
    <w:rsid w:val="006F4184"/>
    <w:rsid w:val="006F5B9E"/>
    <w:rsid w:val="006F7480"/>
    <w:rsid w:val="0070124C"/>
    <w:rsid w:val="007017C6"/>
    <w:rsid w:val="00701BCF"/>
    <w:rsid w:val="00701F13"/>
    <w:rsid w:val="007027BB"/>
    <w:rsid w:val="00705140"/>
    <w:rsid w:val="007066C5"/>
    <w:rsid w:val="007076B2"/>
    <w:rsid w:val="00712FFF"/>
    <w:rsid w:val="0071317C"/>
    <w:rsid w:val="007142C8"/>
    <w:rsid w:val="00717984"/>
    <w:rsid w:val="00717A32"/>
    <w:rsid w:val="00720729"/>
    <w:rsid w:val="007212E2"/>
    <w:rsid w:val="00723DEB"/>
    <w:rsid w:val="007240E7"/>
    <w:rsid w:val="007244A5"/>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912CE"/>
    <w:rsid w:val="0079451D"/>
    <w:rsid w:val="007A04C8"/>
    <w:rsid w:val="007A2393"/>
    <w:rsid w:val="007A3102"/>
    <w:rsid w:val="007A3B30"/>
    <w:rsid w:val="007A3E87"/>
    <w:rsid w:val="007A3FC0"/>
    <w:rsid w:val="007A49BA"/>
    <w:rsid w:val="007A609F"/>
    <w:rsid w:val="007A649D"/>
    <w:rsid w:val="007A7484"/>
    <w:rsid w:val="007B4146"/>
    <w:rsid w:val="007B57A1"/>
    <w:rsid w:val="007B5AC2"/>
    <w:rsid w:val="007B7535"/>
    <w:rsid w:val="007C0D3D"/>
    <w:rsid w:val="007C2A08"/>
    <w:rsid w:val="007C60D8"/>
    <w:rsid w:val="007C7016"/>
    <w:rsid w:val="007D0AC6"/>
    <w:rsid w:val="007D2077"/>
    <w:rsid w:val="007D6FA1"/>
    <w:rsid w:val="007D7A78"/>
    <w:rsid w:val="007E5812"/>
    <w:rsid w:val="007E68A5"/>
    <w:rsid w:val="007F10F6"/>
    <w:rsid w:val="007F1DAF"/>
    <w:rsid w:val="007F1EA9"/>
    <w:rsid w:val="007F1EC7"/>
    <w:rsid w:val="007F286F"/>
    <w:rsid w:val="007F2C82"/>
    <w:rsid w:val="007F36F4"/>
    <w:rsid w:val="007F3EAF"/>
    <w:rsid w:val="007F40B0"/>
    <w:rsid w:val="007F5F38"/>
    <w:rsid w:val="007F665B"/>
    <w:rsid w:val="00800043"/>
    <w:rsid w:val="00802BB6"/>
    <w:rsid w:val="008042C8"/>
    <w:rsid w:val="00805143"/>
    <w:rsid w:val="00805CFD"/>
    <w:rsid w:val="00807F15"/>
    <w:rsid w:val="0081359D"/>
    <w:rsid w:val="008136A0"/>
    <w:rsid w:val="00813CDD"/>
    <w:rsid w:val="00814164"/>
    <w:rsid w:val="00815A2E"/>
    <w:rsid w:val="008168B9"/>
    <w:rsid w:val="00820B4E"/>
    <w:rsid w:val="00822488"/>
    <w:rsid w:val="0082324C"/>
    <w:rsid w:val="00823B38"/>
    <w:rsid w:val="00823F1C"/>
    <w:rsid w:val="00824697"/>
    <w:rsid w:val="00827A30"/>
    <w:rsid w:val="008318B8"/>
    <w:rsid w:val="00831DDD"/>
    <w:rsid w:val="00832386"/>
    <w:rsid w:val="008332DA"/>
    <w:rsid w:val="0083391E"/>
    <w:rsid w:val="008344C2"/>
    <w:rsid w:val="00834BAC"/>
    <w:rsid w:val="00836D01"/>
    <w:rsid w:val="008379F3"/>
    <w:rsid w:val="00837EA3"/>
    <w:rsid w:val="008439A0"/>
    <w:rsid w:val="00843BE9"/>
    <w:rsid w:val="00843C01"/>
    <w:rsid w:val="008470A5"/>
    <w:rsid w:val="008508FF"/>
    <w:rsid w:val="00850CAC"/>
    <w:rsid w:val="0085152D"/>
    <w:rsid w:val="0085238C"/>
    <w:rsid w:val="008530DA"/>
    <w:rsid w:val="008538D0"/>
    <w:rsid w:val="00853BF4"/>
    <w:rsid w:val="00854649"/>
    <w:rsid w:val="00854ED5"/>
    <w:rsid w:val="00855965"/>
    <w:rsid w:val="00856356"/>
    <w:rsid w:val="008563F2"/>
    <w:rsid w:val="00860671"/>
    <w:rsid w:val="00862CD2"/>
    <w:rsid w:val="0086508B"/>
    <w:rsid w:val="00866017"/>
    <w:rsid w:val="00866E4F"/>
    <w:rsid w:val="0087156B"/>
    <w:rsid w:val="00871A57"/>
    <w:rsid w:val="00872D7E"/>
    <w:rsid w:val="00873624"/>
    <w:rsid w:val="008754E6"/>
    <w:rsid w:val="0087776F"/>
    <w:rsid w:val="00880ED4"/>
    <w:rsid w:val="0088233C"/>
    <w:rsid w:val="0088280A"/>
    <w:rsid w:val="00882BCF"/>
    <w:rsid w:val="00883E02"/>
    <w:rsid w:val="00883EB7"/>
    <w:rsid w:val="00886D42"/>
    <w:rsid w:val="00891C38"/>
    <w:rsid w:val="00891D35"/>
    <w:rsid w:val="00892C9F"/>
    <w:rsid w:val="00892FBD"/>
    <w:rsid w:val="00893AD8"/>
    <w:rsid w:val="00893D2C"/>
    <w:rsid w:val="00894D11"/>
    <w:rsid w:val="00895231"/>
    <w:rsid w:val="0089523F"/>
    <w:rsid w:val="00895A6E"/>
    <w:rsid w:val="008967E5"/>
    <w:rsid w:val="00897BCF"/>
    <w:rsid w:val="008A07FE"/>
    <w:rsid w:val="008A12AD"/>
    <w:rsid w:val="008A1677"/>
    <w:rsid w:val="008A3FA6"/>
    <w:rsid w:val="008A5F81"/>
    <w:rsid w:val="008A6436"/>
    <w:rsid w:val="008A6E5D"/>
    <w:rsid w:val="008B04B3"/>
    <w:rsid w:val="008B060F"/>
    <w:rsid w:val="008B144F"/>
    <w:rsid w:val="008B1A88"/>
    <w:rsid w:val="008B279B"/>
    <w:rsid w:val="008B3B85"/>
    <w:rsid w:val="008B42E3"/>
    <w:rsid w:val="008B4DE6"/>
    <w:rsid w:val="008B4E8C"/>
    <w:rsid w:val="008B60B8"/>
    <w:rsid w:val="008B6BF4"/>
    <w:rsid w:val="008B7187"/>
    <w:rsid w:val="008C12BE"/>
    <w:rsid w:val="008C17FC"/>
    <w:rsid w:val="008C1B93"/>
    <w:rsid w:val="008C22C7"/>
    <w:rsid w:val="008C38EB"/>
    <w:rsid w:val="008C414B"/>
    <w:rsid w:val="008C41C8"/>
    <w:rsid w:val="008C54EA"/>
    <w:rsid w:val="008C6701"/>
    <w:rsid w:val="008C671C"/>
    <w:rsid w:val="008D28A9"/>
    <w:rsid w:val="008D3BDF"/>
    <w:rsid w:val="008D5ED6"/>
    <w:rsid w:val="008D7EA2"/>
    <w:rsid w:val="008E0F80"/>
    <w:rsid w:val="008E17AF"/>
    <w:rsid w:val="008E18C0"/>
    <w:rsid w:val="008E1CA4"/>
    <w:rsid w:val="008E3FAA"/>
    <w:rsid w:val="008E737C"/>
    <w:rsid w:val="008F0001"/>
    <w:rsid w:val="008F05B8"/>
    <w:rsid w:val="008F0C9D"/>
    <w:rsid w:val="008F0D5A"/>
    <w:rsid w:val="008F1C12"/>
    <w:rsid w:val="008F326B"/>
    <w:rsid w:val="008F5A4B"/>
    <w:rsid w:val="008F5EF9"/>
    <w:rsid w:val="008F5F6F"/>
    <w:rsid w:val="009003D8"/>
    <w:rsid w:val="00900EC1"/>
    <w:rsid w:val="00901214"/>
    <w:rsid w:val="00904D6D"/>
    <w:rsid w:val="00904EC8"/>
    <w:rsid w:val="00906951"/>
    <w:rsid w:val="0091187A"/>
    <w:rsid w:val="00912FBC"/>
    <w:rsid w:val="00913D3B"/>
    <w:rsid w:val="00913F75"/>
    <w:rsid w:val="009156AC"/>
    <w:rsid w:val="00921D05"/>
    <w:rsid w:val="0092257C"/>
    <w:rsid w:val="00923121"/>
    <w:rsid w:val="0092464C"/>
    <w:rsid w:val="0092536F"/>
    <w:rsid w:val="009314C3"/>
    <w:rsid w:val="009317FD"/>
    <w:rsid w:val="0093226B"/>
    <w:rsid w:val="0094001A"/>
    <w:rsid w:val="009406FF"/>
    <w:rsid w:val="00941203"/>
    <w:rsid w:val="009416C1"/>
    <w:rsid w:val="0094367D"/>
    <w:rsid w:val="00943FA1"/>
    <w:rsid w:val="00945A5C"/>
    <w:rsid w:val="00945A74"/>
    <w:rsid w:val="00946389"/>
    <w:rsid w:val="0094738D"/>
    <w:rsid w:val="00950EF7"/>
    <w:rsid w:val="00954DC1"/>
    <w:rsid w:val="00955462"/>
    <w:rsid w:val="00955F17"/>
    <w:rsid w:val="00956EB6"/>
    <w:rsid w:val="00957C11"/>
    <w:rsid w:val="009617A9"/>
    <w:rsid w:val="009619C6"/>
    <w:rsid w:val="009665BE"/>
    <w:rsid w:val="009673AB"/>
    <w:rsid w:val="00970E84"/>
    <w:rsid w:val="00971153"/>
    <w:rsid w:val="009720B4"/>
    <w:rsid w:val="009758C4"/>
    <w:rsid w:val="00981036"/>
    <w:rsid w:val="00981E5F"/>
    <w:rsid w:val="00983846"/>
    <w:rsid w:val="0098477B"/>
    <w:rsid w:val="00990CC8"/>
    <w:rsid w:val="0099227E"/>
    <w:rsid w:val="009949C5"/>
    <w:rsid w:val="009A0949"/>
    <w:rsid w:val="009A19B2"/>
    <w:rsid w:val="009A7860"/>
    <w:rsid w:val="009B3EC0"/>
    <w:rsid w:val="009B5FE8"/>
    <w:rsid w:val="009B62B1"/>
    <w:rsid w:val="009B76C2"/>
    <w:rsid w:val="009B7C57"/>
    <w:rsid w:val="009C080D"/>
    <w:rsid w:val="009C0909"/>
    <w:rsid w:val="009C2D23"/>
    <w:rsid w:val="009C5293"/>
    <w:rsid w:val="009C78B6"/>
    <w:rsid w:val="009C7995"/>
    <w:rsid w:val="009D41DF"/>
    <w:rsid w:val="009D709E"/>
    <w:rsid w:val="009E0249"/>
    <w:rsid w:val="009E055A"/>
    <w:rsid w:val="009E0F0F"/>
    <w:rsid w:val="009E30D9"/>
    <w:rsid w:val="009E36AC"/>
    <w:rsid w:val="009E4FB4"/>
    <w:rsid w:val="009E5694"/>
    <w:rsid w:val="009E585B"/>
    <w:rsid w:val="009E5A28"/>
    <w:rsid w:val="009F040E"/>
    <w:rsid w:val="009F5F80"/>
    <w:rsid w:val="009F6AC4"/>
    <w:rsid w:val="00A01765"/>
    <w:rsid w:val="00A02DD3"/>
    <w:rsid w:val="00A04D6C"/>
    <w:rsid w:val="00A05622"/>
    <w:rsid w:val="00A10491"/>
    <w:rsid w:val="00A1136A"/>
    <w:rsid w:val="00A1327F"/>
    <w:rsid w:val="00A16250"/>
    <w:rsid w:val="00A17296"/>
    <w:rsid w:val="00A17D28"/>
    <w:rsid w:val="00A21621"/>
    <w:rsid w:val="00A22457"/>
    <w:rsid w:val="00A22900"/>
    <w:rsid w:val="00A31E71"/>
    <w:rsid w:val="00A3340E"/>
    <w:rsid w:val="00A4148F"/>
    <w:rsid w:val="00A42248"/>
    <w:rsid w:val="00A426C8"/>
    <w:rsid w:val="00A42ABF"/>
    <w:rsid w:val="00A43139"/>
    <w:rsid w:val="00A4427E"/>
    <w:rsid w:val="00A46733"/>
    <w:rsid w:val="00A46ECF"/>
    <w:rsid w:val="00A477B8"/>
    <w:rsid w:val="00A47AD5"/>
    <w:rsid w:val="00A47F03"/>
    <w:rsid w:val="00A51683"/>
    <w:rsid w:val="00A51892"/>
    <w:rsid w:val="00A52037"/>
    <w:rsid w:val="00A52149"/>
    <w:rsid w:val="00A52DA3"/>
    <w:rsid w:val="00A5654D"/>
    <w:rsid w:val="00A5669C"/>
    <w:rsid w:val="00A5724F"/>
    <w:rsid w:val="00A6261F"/>
    <w:rsid w:val="00A6557E"/>
    <w:rsid w:val="00A662A3"/>
    <w:rsid w:val="00A6697F"/>
    <w:rsid w:val="00A70B39"/>
    <w:rsid w:val="00A71C8A"/>
    <w:rsid w:val="00A71ED6"/>
    <w:rsid w:val="00A745A1"/>
    <w:rsid w:val="00A77AFE"/>
    <w:rsid w:val="00A77E76"/>
    <w:rsid w:val="00A80090"/>
    <w:rsid w:val="00A82275"/>
    <w:rsid w:val="00A85A64"/>
    <w:rsid w:val="00A87FA4"/>
    <w:rsid w:val="00A91D34"/>
    <w:rsid w:val="00A93118"/>
    <w:rsid w:val="00AA3EC5"/>
    <w:rsid w:val="00AA48F5"/>
    <w:rsid w:val="00AA4B39"/>
    <w:rsid w:val="00AA512B"/>
    <w:rsid w:val="00AA608B"/>
    <w:rsid w:val="00AA77C0"/>
    <w:rsid w:val="00AB1CD7"/>
    <w:rsid w:val="00AB1F5C"/>
    <w:rsid w:val="00AB278F"/>
    <w:rsid w:val="00AB4311"/>
    <w:rsid w:val="00AB49DA"/>
    <w:rsid w:val="00AB4C5B"/>
    <w:rsid w:val="00AB59A7"/>
    <w:rsid w:val="00AB68F7"/>
    <w:rsid w:val="00AC077B"/>
    <w:rsid w:val="00AC0C82"/>
    <w:rsid w:val="00AC1F08"/>
    <w:rsid w:val="00AC3299"/>
    <w:rsid w:val="00AC60ED"/>
    <w:rsid w:val="00AC7005"/>
    <w:rsid w:val="00AD2A52"/>
    <w:rsid w:val="00AD529F"/>
    <w:rsid w:val="00AD564C"/>
    <w:rsid w:val="00AD7639"/>
    <w:rsid w:val="00AE3182"/>
    <w:rsid w:val="00AE43A3"/>
    <w:rsid w:val="00AE4C5D"/>
    <w:rsid w:val="00AE649C"/>
    <w:rsid w:val="00AF095A"/>
    <w:rsid w:val="00AF1030"/>
    <w:rsid w:val="00AF1119"/>
    <w:rsid w:val="00AF59C3"/>
    <w:rsid w:val="00AF78FE"/>
    <w:rsid w:val="00B01072"/>
    <w:rsid w:val="00B011BB"/>
    <w:rsid w:val="00B0163B"/>
    <w:rsid w:val="00B04312"/>
    <w:rsid w:val="00B0539A"/>
    <w:rsid w:val="00B056C2"/>
    <w:rsid w:val="00B06669"/>
    <w:rsid w:val="00B06F09"/>
    <w:rsid w:val="00B07DF0"/>
    <w:rsid w:val="00B14782"/>
    <w:rsid w:val="00B14B32"/>
    <w:rsid w:val="00B14BA4"/>
    <w:rsid w:val="00B14C9C"/>
    <w:rsid w:val="00B14E05"/>
    <w:rsid w:val="00B15EA7"/>
    <w:rsid w:val="00B1616E"/>
    <w:rsid w:val="00B162E1"/>
    <w:rsid w:val="00B16405"/>
    <w:rsid w:val="00B17156"/>
    <w:rsid w:val="00B17A29"/>
    <w:rsid w:val="00B17D85"/>
    <w:rsid w:val="00B21525"/>
    <w:rsid w:val="00B217D0"/>
    <w:rsid w:val="00B21966"/>
    <w:rsid w:val="00B2363C"/>
    <w:rsid w:val="00B252F9"/>
    <w:rsid w:val="00B25977"/>
    <w:rsid w:val="00B262B8"/>
    <w:rsid w:val="00B271D8"/>
    <w:rsid w:val="00B2742C"/>
    <w:rsid w:val="00B27C45"/>
    <w:rsid w:val="00B313EB"/>
    <w:rsid w:val="00B3198A"/>
    <w:rsid w:val="00B3219B"/>
    <w:rsid w:val="00B34812"/>
    <w:rsid w:val="00B34BFB"/>
    <w:rsid w:val="00B357AE"/>
    <w:rsid w:val="00B37E57"/>
    <w:rsid w:val="00B42FA5"/>
    <w:rsid w:val="00B43A1A"/>
    <w:rsid w:val="00B514D3"/>
    <w:rsid w:val="00B51BC7"/>
    <w:rsid w:val="00B52134"/>
    <w:rsid w:val="00B56063"/>
    <w:rsid w:val="00B570B0"/>
    <w:rsid w:val="00B57714"/>
    <w:rsid w:val="00B60844"/>
    <w:rsid w:val="00B61620"/>
    <w:rsid w:val="00B64061"/>
    <w:rsid w:val="00B65BB6"/>
    <w:rsid w:val="00B66567"/>
    <w:rsid w:val="00B7048C"/>
    <w:rsid w:val="00B716EC"/>
    <w:rsid w:val="00B7173D"/>
    <w:rsid w:val="00B71D8A"/>
    <w:rsid w:val="00B73F7D"/>
    <w:rsid w:val="00B743B9"/>
    <w:rsid w:val="00B768D7"/>
    <w:rsid w:val="00B7694A"/>
    <w:rsid w:val="00B778A3"/>
    <w:rsid w:val="00B809F3"/>
    <w:rsid w:val="00B82AA2"/>
    <w:rsid w:val="00B85932"/>
    <w:rsid w:val="00B87588"/>
    <w:rsid w:val="00B92474"/>
    <w:rsid w:val="00B9459A"/>
    <w:rsid w:val="00BA2419"/>
    <w:rsid w:val="00BB0A70"/>
    <w:rsid w:val="00BB0F2F"/>
    <w:rsid w:val="00BB1C66"/>
    <w:rsid w:val="00BB1CF2"/>
    <w:rsid w:val="00BB3596"/>
    <w:rsid w:val="00BB524D"/>
    <w:rsid w:val="00BB5385"/>
    <w:rsid w:val="00BB5653"/>
    <w:rsid w:val="00BB6E3C"/>
    <w:rsid w:val="00BB6EC5"/>
    <w:rsid w:val="00BB7F5B"/>
    <w:rsid w:val="00BC06CF"/>
    <w:rsid w:val="00BC133D"/>
    <w:rsid w:val="00BC18E5"/>
    <w:rsid w:val="00BC3E9C"/>
    <w:rsid w:val="00BC4AF5"/>
    <w:rsid w:val="00BC5AA5"/>
    <w:rsid w:val="00BC7CC2"/>
    <w:rsid w:val="00BD049F"/>
    <w:rsid w:val="00BD0E9D"/>
    <w:rsid w:val="00BD144F"/>
    <w:rsid w:val="00BD218A"/>
    <w:rsid w:val="00BD399A"/>
    <w:rsid w:val="00BD557E"/>
    <w:rsid w:val="00BD5B18"/>
    <w:rsid w:val="00BD5F64"/>
    <w:rsid w:val="00BE0201"/>
    <w:rsid w:val="00BE0F85"/>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5D4"/>
    <w:rsid w:val="00C13B9C"/>
    <w:rsid w:val="00C14063"/>
    <w:rsid w:val="00C1431F"/>
    <w:rsid w:val="00C15102"/>
    <w:rsid w:val="00C15A56"/>
    <w:rsid w:val="00C22F0A"/>
    <w:rsid w:val="00C2325B"/>
    <w:rsid w:val="00C25B1C"/>
    <w:rsid w:val="00C26299"/>
    <w:rsid w:val="00C311E4"/>
    <w:rsid w:val="00C322BB"/>
    <w:rsid w:val="00C33540"/>
    <w:rsid w:val="00C350F2"/>
    <w:rsid w:val="00C35B73"/>
    <w:rsid w:val="00C35B8F"/>
    <w:rsid w:val="00C35FBE"/>
    <w:rsid w:val="00C37FA1"/>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3C7"/>
    <w:rsid w:val="00C72659"/>
    <w:rsid w:val="00C734AC"/>
    <w:rsid w:val="00C73B9D"/>
    <w:rsid w:val="00C73BD7"/>
    <w:rsid w:val="00C80CAC"/>
    <w:rsid w:val="00C81415"/>
    <w:rsid w:val="00C82139"/>
    <w:rsid w:val="00C84B39"/>
    <w:rsid w:val="00C8516B"/>
    <w:rsid w:val="00C854C1"/>
    <w:rsid w:val="00C85B81"/>
    <w:rsid w:val="00C87360"/>
    <w:rsid w:val="00C87E71"/>
    <w:rsid w:val="00C90818"/>
    <w:rsid w:val="00C91630"/>
    <w:rsid w:val="00C9178F"/>
    <w:rsid w:val="00C93F76"/>
    <w:rsid w:val="00C9655A"/>
    <w:rsid w:val="00C96FCA"/>
    <w:rsid w:val="00C970A1"/>
    <w:rsid w:val="00C9754D"/>
    <w:rsid w:val="00C975DF"/>
    <w:rsid w:val="00CA51D3"/>
    <w:rsid w:val="00CA5D84"/>
    <w:rsid w:val="00CA69D1"/>
    <w:rsid w:val="00CB3AD5"/>
    <w:rsid w:val="00CB73B9"/>
    <w:rsid w:val="00CC1960"/>
    <w:rsid w:val="00CD2EE0"/>
    <w:rsid w:val="00CD31B1"/>
    <w:rsid w:val="00CD6146"/>
    <w:rsid w:val="00CD725A"/>
    <w:rsid w:val="00CE1CF3"/>
    <w:rsid w:val="00CE5A8F"/>
    <w:rsid w:val="00CE70F3"/>
    <w:rsid w:val="00CE7659"/>
    <w:rsid w:val="00CE7AC4"/>
    <w:rsid w:val="00CF0E18"/>
    <w:rsid w:val="00CF29A4"/>
    <w:rsid w:val="00CF2C4C"/>
    <w:rsid w:val="00CF2F2E"/>
    <w:rsid w:val="00CF4D55"/>
    <w:rsid w:val="00CF5FF4"/>
    <w:rsid w:val="00CF624D"/>
    <w:rsid w:val="00CF6E34"/>
    <w:rsid w:val="00D00B3B"/>
    <w:rsid w:val="00D03DD9"/>
    <w:rsid w:val="00D066D9"/>
    <w:rsid w:val="00D076EF"/>
    <w:rsid w:val="00D108C5"/>
    <w:rsid w:val="00D10D7A"/>
    <w:rsid w:val="00D1187F"/>
    <w:rsid w:val="00D11C2D"/>
    <w:rsid w:val="00D12E4F"/>
    <w:rsid w:val="00D1618D"/>
    <w:rsid w:val="00D167B1"/>
    <w:rsid w:val="00D16D1B"/>
    <w:rsid w:val="00D21B66"/>
    <w:rsid w:val="00D21F66"/>
    <w:rsid w:val="00D24B66"/>
    <w:rsid w:val="00D24C22"/>
    <w:rsid w:val="00D31492"/>
    <w:rsid w:val="00D32C70"/>
    <w:rsid w:val="00D3478B"/>
    <w:rsid w:val="00D35E12"/>
    <w:rsid w:val="00D36FFC"/>
    <w:rsid w:val="00D413DD"/>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5696"/>
    <w:rsid w:val="00D56A85"/>
    <w:rsid w:val="00D570F3"/>
    <w:rsid w:val="00D61C85"/>
    <w:rsid w:val="00D624E5"/>
    <w:rsid w:val="00D634A8"/>
    <w:rsid w:val="00D645FB"/>
    <w:rsid w:val="00D64C3D"/>
    <w:rsid w:val="00D65A1C"/>
    <w:rsid w:val="00D67099"/>
    <w:rsid w:val="00D71939"/>
    <w:rsid w:val="00D72D27"/>
    <w:rsid w:val="00D72ED5"/>
    <w:rsid w:val="00D73317"/>
    <w:rsid w:val="00D743C8"/>
    <w:rsid w:val="00D743DA"/>
    <w:rsid w:val="00D744B5"/>
    <w:rsid w:val="00D745B1"/>
    <w:rsid w:val="00D74C5F"/>
    <w:rsid w:val="00D753F3"/>
    <w:rsid w:val="00D81AFA"/>
    <w:rsid w:val="00D862F0"/>
    <w:rsid w:val="00D87832"/>
    <w:rsid w:val="00D901D4"/>
    <w:rsid w:val="00D9045B"/>
    <w:rsid w:val="00D90EA9"/>
    <w:rsid w:val="00D9191F"/>
    <w:rsid w:val="00D941C3"/>
    <w:rsid w:val="00D947D6"/>
    <w:rsid w:val="00D94A99"/>
    <w:rsid w:val="00D95324"/>
    <w:rsid w:val="00D95482"/>
    <w:rsid w:val="00DA0390"/>
    <w:rsid w:val="00DA1940"/>
    <w:rsid w:val="00DA1FBA"/>
    <w:rsid w:val="00DA3C3C"/>
    <w:rsid w:val="00DA7C54"/>
    <w:rsid w:val="00DB05EC"/>
    <w:rsid w:val="00DB13DC"/>
    <w:rsid w:val="00DB166E"/>
    <w:rsid w:val="00DB245E"/>
    <w:rsid w:val="00DB288E"/>
    <w:rsid w:val="00DB3C40"/>
    <w:rsid w:val="00DB3D8C"/>
    <w:rsid w:val="00DB43B8"/>
    <w:rsid w:val="00DB7BD1"/>
    <w:rsid w:val="00DB7C8A"/>
    <w:rsid w:val="00DB7EBF"/>
    <w:rsid w:val="00DC0005"/>
    <w:rsid w:val="00DC2DC5"/>
    <w:rsid w:val="00DC3204"/>
    <w:rsid w:val="00DC341B"/>
    <w:rsid w:val="00DC4F01"/>
    <w:rsid w:val="00DD35E7"/>
    <w:rsid w:val="00DD5486"/>
    <w:rsid w:val="00DD650E"/>
    <w:rsid w:val="00DD7757"/>
    <w:rsid w:val="00DD7968"/>
    <w:rsid w:val="00DE0737"/>
    <w:rsid w:val="00DE0B7E"/>
    <w:rsid w:val="00DE1418"/>
    <w:rsid w:val="00DE1AB7"/>
    <w:rsid w:val="00DE2205"/>
    <w:rsid w:val="00DE421E"/>
    <w:rsid w:val="00DE5454"/>
    <w:rsid w:val="00DE6A8B"/>
    <w:rsid w:val="00DE7F41"/>
    <w:rsid w:val="00DF0F50"/>
    <w:rsid w:val="00DF1650"/>
    <w:rsid w:val="00DF2309"/>
    <w:rsid w:val="00DF2524"/>
    <w:rsid w:val="00DF28DC"/>
    <w:rsid w:val="00DF3915"/>
    <w:rsid w:val="00DF44AC"/>
    <w:rsid w:val="00DF4CE2"/>
    <w:rsid w:val="00DF7B6E"/>
    <w:rsid w:val="00E0168F"/>
    <w:rsid w:val="00E035F2"/>
    <w:rsid w:val="00E06EB8"/>
    <w:rsid w:val="00E07BC9"/>
    <w:rsid w:val="00E103DD"/>
    <w:rsid w:val="00E12071"/>
    <w:rsid w:val="00E12660"/>
    <w:rsid w:val="00E12838"/>
    <w:rsid w:val="00E147D3"/>
    <w:rsid w:val="00E15BBF"/>
    <w:rsid w:val="00E15ECD"/>
    <w:rsid w:val="00E2203B"/>
    <w:rsid w:val="00E23F00"/>
    <w:rsid w:val="00E2599A"/>
    <w:rsid w:val="00E2672D"/>
    <w:rsid w:val="00E26A0F"/>
    <w:rsid w:val="00E30712"/>
    <w:rsid w:val="00E30F48"/>
    <w:rsid w:val="00E318D4"/>
    <w:rsid w:val="00E339EE"/>
    <w:rsid w:val="00E3557A"/>
    <w:rsid w:val="00E4014C"/>
    <w:rsid w:val="00E401FC"/>
    <w:rsid w:val="00E41274"/>
    <w:rsid w:val="00E41F32"/>
    <w:rsid w:val="00E42D1B"/>
    <w:rsid w:val="00E46C0B"/>
    <w:rsid w:val="00E46FAB"/>
    <w:rsid w:val="00E474DC"/>
    <w:rsid w:val="00E5155C"/>
    <w:rsid w:val="00E55EA9"/>
    <w:rsid w:val="00E56307"/>
    <w:rsid w:val="00E56D55"/>
    <w:rsid w:val="00E56F52"/>
    <w:rsid w:val="00E5723C"/>
    <w:rsid w:val="00E57F76"/>
    <w:rsid w:val="00E60696"/>
    <w:rsid w:val="00E62028"/>
    <w:rsid w:val="00E6393C"/>
    <w:rsid w:val="00E67E51"/>
    <w:rsid w:val="00E76BE0"/>
    <w:rsid w:val="00E7790B"/>
    <w:rsid w:val="00E814E4"/>
    <w:rsid w:val="00E81714"/>
    <w:rsid w:val="00E864B5"/>
    <w:rsid w:val="00E91546"/>
    <w:rsid w:val="00E91678"/>
    <w:rsid w:val="00E9206E"/>
    <w:rsid w:val="00E93438"/>
    <w:rsid w:val="00E934CB"/>
    <w:rsid w:val="00E93F64"/>
    <w:rsid w:val="00E96737"/>
    <w:rsid w:val="00EA0008"/>
    <w:rsid w:val="00EA0668"/>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5B4F"/>
    <w:rsid w:val="00EC6734"/>
    <w:rsid w:val="00ED2C11"/>
    <w:rsid w:val="00ED3B7C"/>
    <w:rsid w:val="00ED3D0C"/>
    <w:rsid w:val="00ED4AEF"/>
    <w:rsid w:val="00ED570E"/>
    <w:rsid w:val="00ED5CFE"/>
    <w:rsid w:val="00ED63D2"/>
    <w:rsid w:val="00ED7B4B"/>
    <w:rsid w:val="00EE005A"/>
    <w:rsid w:val="00EE05CF"/>
    <w:rsid w:val="00EE0E43"/>
    <w:rsid w:val="00EE10AE"/>
    <w:rsid w:val="00EE2DA2"/>
    <w:rsid w:val="00EE4290"/>
    <w:rsid w:val="00EE4EE8"/>
    <w:rsid w:val="00EE589E"/>
    <w:rsid w:val="00EE76D0"/>
    <w:rsid w:val="00EE7C89"/>
    <w:rsid w:val="00EF1185"/>
    <w:rsid w:val="00EF1E75"/>
    <w:rsid w:val="00EF6CCD"/>
    <w:rsid w:val="00EF754D"/>
    <w:rsid w:val="00F0061A"/>
    <w:rsid w:val="00F027E9"/>
    <w:rsid w:val="00F0775E"/>
    <w:rsid w:val="00F107C7"/>
    <w:rsid w:val="00F15F69"/>
    <w:rsid w:val="00F1612D"/>
    <w:rsid w:val="00F16D8C"/>
    <w:rsid w:val="00F17069"/>
    <w:rsid w:val="00F173DD"/>
    <w:rsid w:val="00F21119"/>
    <w:rsid w:val="00F23729"/>
    <w:rsid w:val="00F25164"/>
    <w:rsid w:val="00F277D3"/>
    <w:rsid w:val="00F30997"/>
    <w:rsid w:val="00F32896"/>
    <w:rsid w:val="00F33C08"/>
    <w:rsid w:val="00F34F80"/>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44B"/>
    <w:rsid w:val="00F5563D"/>
    <w:rsid w:val="00F56891"/>
    <w:rsid w:val="00F6456C"/>
    <w:rsid w:val="00F64CD4"/>
    <w:rsid w:val="00F65AB2"/>
    <w:rsid w:val="00F73238"/>
    <w:rsid w:val="00F73E78"/>
    <w:rsid w:val="00F740C2"/>
    <w:rsid w:val="00F7591E"/>
    <w:rsid w:val="00F75EF9"/>
    <w:rsid w:val="00F77A9B"/>
    <w:rsid w:val="00F80366"/>
    <w:rsid w:val="00F812FC"/>
    <w:rsid w:val="00F823B0"/>
    <w:rsid w:val="00F83035"/>
    <w:rsid w:val="00F866B0"/>
    <w:rsid w:val="00F869EF"/>
    <w:rsid w:val="00F86BE4"/>
    <w:rsid w:val="00F86C7B"/>
    <w:rsid w:val="00F86D61"/>
    <w:rsid w:val="00F905B6"/>
    <w:rsid w:val="00F90A98"/>
    <w:rsid w:val="00F90B31"/>
    <w:rsid w:val="00F914B2"/>
    <w:rsid w:val="00F92294"/>
    <w:rsid w:val="00F926B9"/>
    <w:rsid w:val="00F9541D"/>
    <w:rsid w:val="00F95AA0"/>
    <w:rsid w:val="00F97FAE"/>
    <w:rsid w:val="00FA0403"/>
    <w:rsid w:val="00FA38EB"/>
    <w:rsid w:val="00FA4F59"/>
    <w:rsid w:val="00FA597D"/>
    <w:rsid w:val="00FA5B9A"/>
    <w:rsid w:val="00FB01B9"/>
    <w:rsid w:val="00FB1898"/>
    <w:rsid w:val="00FB763A"/>
    <w:rsid w:val="00FB79C0"/>
    <w:rsid w:val="00FC2EB8"/>
    <w:rsid w:val="00FC5C43"/>
    <w:rsid w:val="00FC7FA4"/>
    <w:rsid w:val="00FD1598"/>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A34C3"/>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LIST LAMPIRAN,kepala,Body Text Char1,Char Char2,Body of text,List Paragraph1,Body of text+1,Body of text+2,Body of text+3,List Paragraph11,Medium Grid 1 - Accent 21,Colorful List - Accent 11,Normal1,Normal11,Paragraph,Normal2,Normal3"/>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eastAsia="ko-KR"/>
    </w:rPr>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customStyle="1" w:styleId="EndNoteBibliographyChar">
    <w:name w:val="EndNote Bibliography Char"/>
    <w:basedOn w:val="DefaultParagraphFont"/>
    <w:link w:val="EndNoteBibliography"/>
    <w:locked/>
    <w:rsid w:val="00AC3299"/>
    <w:rPr>
      <w:noProof/>
      <w:sz w:val="24"/>
    </w:rPr>
  </w:style>
  <w:style w:type="paragraph" w:customStyle="1" w:styleId="EndNoteBibliography">
    <w:name w:val="EndNote Bibliography"/>
    <w:basedOn w:val="Normal"/>
    <w:link w:val="EndNoteBibliographyChar"/>
    <w:rsid w:val="00AC3299"/>
    <w:pPr>
      <w:spacing w:after="160"/>
      <w:jc w:val="both"/>
    </w:pPr>
    <w:rPr>
      <w:noProof/>
      <w:sz w:val="24"/>
    </w:rPr>
  </w:style>
  <w:style w:type="paragraph" w:styleId="z-TopofForm">
    <w:name w:val="HTML Top of Form"/>
    <w:basedOn w:val="Normal"/>
    <w:next w:val="Normal"/>
    <w:link w:val="z-TopofFormChar"/>
    <w:hidden/>
    <w:uiPriority w:val="99"/>
    <w:semiHidden/>
    <w:unhideWhenUsed/>
    <w:rsid w:val="00397AC9"/>
    <w:pPr>
      <w:pBdr>
        <w:bottom w:val="single" w:sz="6" w:space="1" w:color="auto"/>
      </w:pBdr>
      <w:jc w:val="center"/>
    </w:pPr>
    <w:rPr>
      <w:rFonts w:ascii="Arial"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397AC9"/>
    <w:rPr>
      <w:rFonts w:ascii="Arial" w:hAnsi="Arial" w:cs="Arial"/>
      <w:vanish/>
      <w:sz w:val="16"/>
      <w:szCs w:val="16"/>
      <w:lang w:val="en-ID" w:eastAsia="en-ID"/>
    </w:rPr>
  </w:style>
  <w:style w:type="character" w:customStyle="1" w:styleId="HTMLPreformattedChar">
    <w:name w:val="HTML Preformatted Char"/>
    <w:basedOn w:val="DefaultParagraphFont"/>
    <w:link w:val="HTMLPreformatted"/>
    <w:uiPriority w:val="99"/>
    <w:rsid w:val="00FB1898"/>
    <w:rPr>
      <w:rFonts w:ascii="Courier New" w:hAnsi="Courier New" w:cs="Courier New"/>
    </w:rPr>
  </w:style>
  <w:style w:type="character" w:styleId="UnresolvedMention">
    <w:name w:val="Unresolved Mention"/>
    <w:basedOn w:val="DefaultParagraphFont"/>
    <w:uiPriority w:val="99"/>
    <w:semiHidden/>
    <w:unhideWhenUsed/>
    <w:rsid w:val="00895A6E"/>
    <w:rPr>
      <w:color w:val="605E5C"/>
      <w:shd w:val="clear" w:color="auto" w:fill="E1DFDD"/>
    </w:rPr>
  </w:style>
  <w:style w:type="character" w:customStyle="1" w:styleId="ListParagraphChar">
    <w:name w:val="List Paragraph Char"/>
    <w:aliases w:val="LIST LAMPIRAN Char,kepala Char,Body Text Char1 Char,Char Char2 Char,Body of text Char,List Paragraph1 Char,Body of text+1 Char,Body of text+2 Char,Body of text+3 Char,List Paragraph11 Char,Medium Grid 1 - Accent 21 Char,Normal1 Char"/>
    <w:link w:val="ListParagraph"/>
    <w:uiPriority w:val="34"/>
    <w:qFormat/>
    <w:rsid w:val="00EE0E43"/>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86676185">
      <w:bodyDiv w:val="1"/>
      <w:marLeft w:val="0"/>
      <w:marRight w:val="0"/>
      <w:marTop w:val="0"/>
      <w:marBottom w:val="0"/>
      <w:divBdr>
        <w:top w:val="none" w:sz="0" w:space="0" w:color="auto"/>
        <w:left w:val="none" w:sz="0" w:space="0" w:color="auto"/>
        <w:bottom w:val="none" w:sz="0" w:space="0" w:color="auto"/>
        <w:right w:val="none" w:sz="0" w:space="0" w:color="auto"/>
      </w:divBdr>
    </w:div>
    <w:div w:id="135425838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874708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7382356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F55D-6A74-4D3F-B9AD-CE1926D2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10549</Words>
  <Characters>60977</Characters>
  <Application>Microsoft Office Word</Application>
  <DocSecurity>0</DocSecurity>
  <Lines>923</Lines>
  <Paragraphs>254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Yorman DG</cp:lastModifiedBy>
  <cp:revision>39</cp:revision>
  <cp:lastPrinted>2004-12-30T03:27:00Z</cp:lastPrinted>
  <dcterms:created xsi:type="dcterms:W3CDTF">2024-04-30T15:15:00Z</dcterms:created>
  <dcterms:modified xsi:type="dcterms:W3CDTF">2025-09-11T09:11:00Z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2b32c8ba-bc41-4add-9a70-fcbcbb652586</vt:lpwstr>
  </property>
</Properties>
</file>