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CE734" w14:textId="5BF03B27" w:rsidR="00FD6649" w:rsidRPr="00045649" w:rsidRDefault="00FD6649" w:rsidP="00FD6649">
      <w:pPr>
        <w:jc w:val="center"/>
        <w:rPr>
          <w:rFonts w:ascii="Footlight MT Light" w:eastAsia="Gentium Basic" w:hAnsi="Footlight MT Light" w:cs="Gentium Basic"/>
          <w:b/>
          <w:color w:val="000000"/>
          <w:sz w:val="32"/>
          <w:szCs w:val="32"/>
        </w:rPr>
      </w:pPr>
      <w:r w:rsidRPr="00045649">
        <w:rPr>
          <w:rFonts w:ascii="Footlight MT Light" w:eastAsia="Gentium Basic" w:hAnsi="Footlight MT Light" w:cs="Gentium Basic"/>
          <w:b/>
          <w:color w:val="000000"/>
          <w:sz w:val="32"/>
          <w:szCs w:val="32"/>
        </w:rPr>
        <w:t xml:space="preserve">Analisis Tafsir Al-Qur’an Terhadap Fenomena Kejahatan Judi Online </w:t>
      </w:r>
      <w:r w:rsidR="00367C82">
        <w:rPr>
          <w:rFonts w:ascii="Footlight MT Light" w:eastAsia="Gentium Basic" w:hAnsi="Footlight MT Light" w:cs="Gentium Basic"/>
          <w:b/>
          <w:color w:val="000000"/>
          <w:sz w:val="32"/>
          <w:szCs w:val="32"/>
        </w:rPr>
        <w:t>p</w:t>
      </w:r>
      <w:r w:rsidRPr="00045649">
        <w:rPr>
          <w:rFonts w:ascii="Footlight MT Light" w:eastAsia="Gentium Basic" w:hAnsi="Footlight MT Light" w:cs="Gentium Basic"/>
          <w:b/>
          <w:color w:val="000000"/>
          <w:sz w:val="32"/>
          <w:szCs w:val="32"/>
        </w:rPr>
        <w:t>ada Masyarakat Muslim</w:t>
      </w:r>
    </w:p>
    <w:p w14:paraId="2FD514FD" w14:textId="77777777" w:rsidR="00D962E0" w:rsidRPr="00045649" w:rsidRDefault="00D962E0">
      <w:pPr>
        <w:jc w:val="center"/>
        <w:rPr>
          <w:rFonts w:ascii="Footlight MT Light" w:eastAsia="Lustria" w:hAnsi="Footlight MT Light" w:cs="Lustria"/>
          <w:sz w:val="24"/>
          <w:szCs w:val="24"/>
        </w:rPr>
      </w:pPr>
    </w:p>
    <w:p w14:paraId="1C92FE63" w14:textId="2569F445" w:rsidR="00D962E0" w:rsidRPr="00885B97" w:rsidRDefault="00FD6649" w:rsidP="00FD6649">
      <w:pPr>
        <w:jc w:val="center"/>
        <w:rPr>
          <w:rFonts w:ascii="Footlight MT Light" w:eastAsia="Gentium Basic" w:hAnsi="Footlight MT Light" w:cs="Gentium Basic"/>
          <w:sz w:val="24"/>
          <w:szCs w:val="24"/>
        </w:rPr>
      </w:pPr>
      <w:r w:rsidRPr="00885B97">
        <w:rPr>
          <w:rFonts w:ascii="Footlight MT Light" w:eastAsia="Gentium Basic" w:hAnsi="Footlight MT Light" w:cs="Gentium Basic"/>
          <w:b/>
          <w:color w:val="000000"/>
          <w:sz w:val="24"/>
          <w:szCs w:val="24"/>
        </w:rPr>
        <w:t>Suarning</w:t>
      </w:r>
      <w:r w:rsidRPr="00885B97">
        <w:rPr>
          <w:rFonts w:ascii="Footlight MT Light" w:eastAsia="Gentium Basic" w:hAnsi="Footlight MT Light" w:cs="Gentium Basic"/>
          <w:b/>
          <w:color w:val="000000"/>
          <w:sz w:val="24"/>
          <w:szCs w:val="24"/>
          <w:vertAlign w:val="superscript"/>
        </w:rPr>
        <w:t>1</w:t>
      </w:r>
      <w:r w:rsidR="00885B97" w:rsidRPr="00885B97">
        <w:rPr>
          <w:rFonts w:ascii="Footlight MT Light" w:eastAsia="Gentium Basic" w:hAnsi="Footlight MT Light" w:cs="Gentium Basic"/>
          <w:b/>
          <w:color w:val="000000"/>
          <w:sz w:val="24"/>
          <w:szCs w:val="24"/>
        </w:rPr>
        <w:t>*</w:t>
      </w:r>
      <w:r w:rsidRPr="00885B97">
        <w:rPr>
          <w:rFonts w:ascii="Footlight MT Light" w:eastAsia="Gentium Basic" w:hAnsi="Footlight MT Light" w:cs="Gentium Basic"/>
          <w:b/>
          <w:color w:val="000000"/>
          <w:sz w:val="24"/>
          <w:szCs w:val="24"/>
        </w:rPr>
        <w:t>, Andi Marlina</w:t>
      </w:r>
      <w:r w:rsidRPr="00885B97">
        <w:rPr>
          <w:rFonts w:ascii="Footlight MT Light" w:eastAsia="Gentium Basic" w:hAnsi="Footlight MT Light" w:cs="Gentium Basic"/>
          <w:b/>
          <w:color w:val="000000"/>
          <w:sz w:val="24"/>
          <w:szCs w:val="24"/>
          <w:vertAlign w:val="superscript"/>
        </w:rPr>
        <w:t>2</w:t>
      </w:r>
      <w:r w:rsidRPr="00885B97">
        <w:rPr>
          <w:rFonts w:ascii="Footlight MT Light" w:eastAsia="Gentium Basic" w:hAnsi="Footlight MT Light" w:cs="Gentium Basic"/>
          <w:b/>
          <w:color w:val="000000"/>
          <w:sz w:val="24"/>
          <w:szCs w:val="24"/>
        </w:rPr>
        <w:t>, Anugrah Ramadhani</w:t>
      </w:r>
      <w:r w:rsidRPr="00885B97">
        <w:rPr>
          <w:rFonts w:ascii="Footlight MT Light" w:eastAsia="Gentium Basic" w:hAnsi="Footlight MT Light" w:cs="Gentium Basic"/>
          <w:b/>
          <w:color w:val="000000"/>
          <w:sz w:val="24"/>
          <w:szCs w:val="24"/>
          <w:vertAlign w:val="superscript"/>
        </w:rPr>
        <w:t>3</w:t>
      </w:r>
      <w:r w:rsidRPr="00885B97">
        <w:rPr>
          <w:rFonts w:ascii="Footlight MT Light" w:eastAsia="Gentium Basic" w:hAnsi="Footlight MT Light" w:cs="Gentium Basic"/>
          <w:b/>
          <w:color w:val="000000"/>
          <w:sz w:val="24"/>
          <w:szCs w:val="24"/>
        </w:rPr>
        <w:t>, Norfazilah</w:t>
      </w:r>
      <w:r w:rsidRPr="00885B97">
        <w:rPr>
          <w:rFonts w:ascii="Footlight MT Light" w:eastAsia="Gentium Basic" w:hAnsi="Footlight MT Light" w:cs="Gentium Basic"/>
          <w:b/>
          <w:color w:val="000000"/>
          <w:sz w:val="24"/>
          <w:szCs w:val="24"/>
          <w:vertAlign w:val="superscript"/>
        </w:rPr>
        <w:t>4</w:t>
      </w:r>
      <w:r w:rsidRPr="00885B97">
        <w:rPr>
          <w:rFonts w:ascii="Footlight MT Light" w:eastAsia="Gentium Basic" w:hAnsi="Footlight MT Light" w:cs="Gentium Basic"/>
          <w:b/>
          <w:color w:val="000000"/>
          <w:sz w:val="24"/>
          <w:szCs w:val="24"/>
        </w:rPr>
        <w:t>, Zulfia Adelia</w:t>
      </w:r>
      <w:r w:rsidRPr="00885B97">
        <w:rPr>
          <w:rFonts w:ascii="Footlight MT Light" w:eastAsia="Gentium Basic" w:hAnsi="Footlight MT Light" w:cs="Gentium Basic"/>
          <w:b/>
          <w:color w:val="000000"/>
          <w:sz w:val="24"/>
          <w:szCs w:val="24"/>
          <w:vertAlign w:val="superscript"/>
        </w:rPr>
        <w:t>5</w:t>
      </w:r>
    </w:p>
    <w:p w14:paraId="086141D8" w14:textId="3C3ACB56" w:rsidR="00885B97" w:rsidRDefault="009C35AE" w:rsidP="00FD6649">
      <w:pPr>
        <w:jc w:val="center"/>
        <w:rPr>
          <w:rFonts w:ascii="Footlight MT Light" w:eastAsia="Gentium Basic" w:hAnsi="Footlight MT Light" w:cs="Gentium Basic"/>
          <w:color w:val="000000"/>
          <w:sz w:val="22"/>
          <w:szCs w:val="22"/>
        </w:rPr>
      </w:pPr>
      <w:r>
        <w:rPr>
          <w:rFonts w:ascii="Footlight MT Light" w:eastAsia="Gentium Basic" w:hAnsi="Footlight MT Light" w:cs="Gentium Basic"/>
          <w:color w:val="000000"/>
          <w:sz w:val="22"/>
          <w:szCs w:val="22"/>
          <w:vertAlign w:val="superscript"/>
        </w:rPr>
        <w:t>1-</w:t>
      </w:r>
      <w:r w:rsidR="00DF1BB2">
        <w:rPr>
          <w:rFonts w:ascii="Footlight MT Light" w:eastAsia="Gentium Basic" w:hAnsi="Footlight MT Light" w:cs="Gentium Basic"/>
          <w:color w:val="000000"/>
          <w:sz w:val="22"/>
          <w:szCs w:val="22"/>
          <w:vertAlign w:val="superscript"/>
        </w:rPr>
        <w:t>5</w:t>
      </w:r>
      <w:r w:rsidR="00FD6649" w:rsidRPr="00885B97">
        <w:rPr>
          <w:rFonts w:ascii="Footlight MT Light" w:eastAsia="Gentium Basic" w:hAnsi="Footlight MT Light" w:cs="Gentium Basic"/>
          <w:color w:val="000000"/>
          <w:sz w:val="22"/>
          <w:szCs w:val="22"/>
        </w:rPr>
        <w:t>Institut Agama Islam Negeri Parepare</w:t>
      </w:r>
      <w:r w:rsidR="00885B97" w:rsidRPr="00885B97">
        <w:rPr>
          <w:rFonts w:ascii="Footlight MT Light" w:eastAsia="Gentium Basic" w:hAnsi="Footlight MT Light" w:cs="Gentium Basic"/>
          <w:color w:val="000000"/>
          <w:sz w:val="22"/>
          <w:szCs w:val="22"/>
        </w:rPr>
        <w:t>, Indonesia</w:t>
      </w:r>
      <w:r w:rsidR="00FD6649" w:rsidRPr="00885B97">
        <w:rPr>
          <w:rFonts w:ascii="Footlight MT Light" w:eastAsia="Gentium Basic" w:hAnsi="Footlight MT Light" w:cs="Gentium Basic"/>
          <w:color w:val="000000"/>
          <w:sz w:val="22"/>
          <w:szCs w:val="22"/>
        </w:rPr>
        <w:t xml:space="preserve"> </w:t>
      </w:r>
    </w:p>
    <w:p w14:paraId="4E35D296" w14:textId="6CCCD055" w:rsidR="00D962E0" w:rsidRPr="00885B97" w:rsidRDefault="00410F8E" w:rsidP="00FD6649">
      <w:pPr>
        <w:jc w:val="center"/>
        <w:rPr>
          <w:rFonts w:ascii="Footlight MT Light" w:eastAsia="Gentium Basic" w:hAnsi="Footlight MT Light" w:cs="Gentium Basic"/>
          <w:sz w:val="22"/>
          <w:szCs w:val="22"/>
        </w:rPr>
      </w:pPr>
      <w:r w:rsidRPr="00885B97">
        <w:rPr>
          <w:rFonts w:ascii="Footlight MT Light" w:eastAsia="Gentium Basic" w:hAnsi="Footlight MT Light" w:cs="Gentium Basic"/>
          <w:color w:val="000000"/>
          <w:sz w:val="22"/>
          <w:szCs w:val="22"/>
        </w:rPr>
        <w:t xml:space="preserve"> </w:t>
      </w:r>
    </w:p>
    <w:p w14:paraId="0A173902" w14:textId="22248FFB" w:rsidR="00D962E0" w:rsidRPr="00045649" w:rsidRDefault="00410F8E">
      <w:pPr>
        <w:jc w:val="center"/>
        <w:rPr>
          <w:rFonts w:ascii="Footlight MT Light" w:eastAsia="Gentium Basic" w:hAnsi="Footlight MT Light" w:cs="Gentium Basic"/>
          <w:sz w:val="24"/>
          <w:szCs w:val="24"/>
        </w:rPr>
      </w:pPr>
      <w:r w:rsidRPr="00045649">
        <w:rPr>
          <w:rFonts w:ascii="Footlight MT Light" w:eastAsia="Gentium Basic" w:hAnsi="Footlight MT Light" w:cs="Gentium Basic"/>
          <w:color w:val="000000"/>
          <w:sz w:val="22"/>
          <w:szCs w:val="22"/>
        </w:rPr>
        <w:t xml:space="preserve">Corresponding Author’s e-mail : </w:t>
      </w:r>
      <w:r w:rsidR="00FD6649" w:rsidRPr="00885B97">
        <w:rPr>
          <w:rFonts w:ascii="Footlight MT Light" w:eastAsia="Gentium Basic" w:hAnsi="Footlight MT Light" w:cs="Gentium Basic"/>
          <w:i/>
          <w:iCs/>
          <w:color w:val="000000"/>
          <w:sz w:val="22"/>
          <w:szCs w:val="22"/>
        </w:rPr>
        <w:t>andimarlina@iainpare.ac.id</w:t>
      </w:r>
    </w:p>
    <w:p w14:paraId="75BC8D71" w14:textId="77777777" w:rsidR="00D962E0" w:rsidRPr="00885B97" w:rsidRDefault="00D962E0">
      <w:pPr>
        <w:rPr>
          <w:rFonts w:ascii="Footlight MT Light" w:eastAsia="Lustria" w:hAnsi="Footlight MT Light" w:cs="Lustria"/>
          <w:sz w:val="12"/>
          <w:szCs w:val="12"/>
        </w:rPr>
      </w:pPr>
    </w:p>
    <w:tbl>
      <w:tblPr>
        <w:tblStyle w:val="a"/>
        <w:tblW w:w="9639" w:type="dxa"/>
        <w:tblLayout w:type="fixed"/>
        <w:tblLook w:val="0400" w:firstRow="0" w:lastRow="0" w:firstColumn="0" w:lastColumn="0" w:noHBand="0" w:noVBand="1"/>
      </w:tblPr>
      <w:tblGrid>
        <w:gridCol w:w="4111"/>
        <w:gridCol w:w="141"/>
        <w:gridCol w:w="5387"/>
      </w:tblGrid>
      <w:tr w:rsidR="00D962E0" w:rsidRPr="00045649" w14:paraId="75B837A4" w14:textId="77777777">
        <w:tc>
          <w:tcPr>
            <w:tcW w:w="4111" w:type="dxa"/>
            <w:tcBorders>
              <w:bottom w:val="dashed" w:sz="4" w:space="0" w:color="000000"/>
            </w:tcBorders>
            <w:tcMar>
              <w:top w:w="0" w:type="dxa"/>
              <w:left w:w="108" w:type="dxa"/>
              <w:bottom w:w="0" w:type="dxa"/>
              <w:right w:w="108" w:type="dxa"/>
            </w:tcMar>
          </w:tcPr>
          <w:p w14:paraId="5D8B12F9" w14:textId="77777777" w:rsidR="00D962E0" w:rsidRPr="00045649" w:rsidRDefault="00410F8E">
            <w:pPr>
              <w:spacing w:line="480" w:lineRule="auto"/>
              <w:jc w:val="center"/>
              <w:rPr>
                <w:rFonts w:ascii="Footlight MT Light" w:eastAsia="Gentium Basic" w:hAnsi="Footlight MT Light" w:cs="Gentium Basic"/>
                <w:color w:val="000000"/>
              </w:rPr>
            </w:pPr>
            <w:r w:rsidRPr="00045649">
              <w:rPr>
                <w:rFonts w:ascii="Footlight MT Light" w:eastAsia="Gentium Basic" w:hAnsi="Footlight MT Light" w:cs="Gentium Basic"/>
                <w:noProof/>
                <w:color w:val="000000"/>
              </w:rPr>
              <w:drawing>
                <wp:inline distT="0" distB="0" distL="0" distR="0" wp14:anchorId="42F44D92" wp14:editId="3150A977">
                  <wp:extent cx="2473325" cy="54165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473325" cy="541655"/>
                          </a:xfrm>
                          <a:prstGeom prst="rect">
                            <a:avLst/>
                          </a:prstGeom>
                          <a:ln/>
                        </pic:spPr>
                      </pic:pic>
                    </a:graphicData>
                  </a:graphic>
                </wp:inline>
              </w:drawing>
            </w:r>
          </w:p>
        </w:tc>
        <w:tc>
          <w:tcPr>
            <w:tcW w:w="141" w:type="dxa"/>
          </w:tcPr>
          <w:p w14:paraId="3B63BC17" w14:textId="77777777" w:rsidR="00D962E0" w:rsidRPr="00045649" w:rsidRDefault="00D962E0">
            <w:pPr>
              <w:jc w:val="both"/>
              <w:rPr>
                <w:rFonts w:ascii="Footlight MT Light" w:eastAsia="Gentium Basic" w:hAnsi="Footlight MT Light" w:cs="Gentium Basic"/>
                <w:b/>
                <w:i/>
                <w:color w:val="000000"/>
                <w:sz w:val="22"/>
                <w:szCs w:val="22"/>
              </w:rPr>
            </w:pPr>
          </w:p>
        </w:tc>
        <w:tc>
          <w:tcPr>
            <w:tcW w:w="5387" w:type="dxa"/>
            <w:vMerge w:val="restart"/>
            <w:shd w:val="clear" w:color="auto" w:fill="D0CECE"/>
            <w:tcMar>
              <w:top w:w="0" w:type="dxa"/>
              <w:left w:w="108" w:type="dxa"/>
              <w:bottom w:w="0" w:type="dxa"/>
              <w:right w:w="108" w:type="dxa"/>
            </w:tcMar>
          </w:tcPr>
          <w:p w14:paraId="60883D2C" w14:textId="23EAADD3" w:rsidR="00D962E0" w:rsidRPr="00045649" w:rsidRDefault="00410F8E">
            <w:pPr>
              <w:jc w:val="both"/>
              <w:rPr>
                <w:rFonts w:ascii="Footlight MT Light" w:eastAsia="Gentium Basic" w:hAnsi="Footlight MT Light" w:cs="Gentium Basic"/>
                <w:i/>
                <w:color w:val="000000"/>
                <w:sz w:val="22"/>
                <w:szCs w:val="22"/>
              </w:rPr>
            </w:pPr>
            <w:r w:rsidRPr="00045649">
              <w:rPr>
                <w:rFonts w:ascii="Footlight MT Light" w:eastAsia="Gentium Basic" w:hAnsi="Footlight MT Light" w:cs="Gentium Basic"/>
                <w:b/>
                <w:i/>
                <w:color w:val="000000"/>
                <w:sz w:val="22"/>
                <w:szCs w:val="22"/>
              </w:rPr>
              <w:t>Abstract</w:t>
            </w:r>
            <w:r w:rsidRPr="00045649">
              <w:rPr>
                <w:rFonts w:ascii="Footlight MT Light" w:eastAsia="Gentium Basic" w:hAnsi="Footlight MT Light" w:cs="Gentium Basic"/>
                <w:i/>
                <w:color w:val="000000"/>
                <w:sz w:val="22"/>
                <w:szCs w:val="22"/>
              </w:rPr>
              <w:t xml:space="preserve"> :</w:t>
            </w:r>
            <w:r w:rsidRPr="00045649">
              <w:rPr>
                <w:rFonts w:ascii="Footlight MT Light" w:eastAsia="Gentium Basic" w:hAnsi="Footlight MT Light" w:cs="Gentium Basic"/>
                <w:b/>
                <w:i/>
                <w:color w:val="000000"/>
                <w:sz w:val="22"/>
                <w:szCs w:val="22"/>
              </w:rPr>
              <w:t xml:space="preserve"> </w:t>
            </w:r>
            <w:r w:rsidR="00885B97" w:rsidRPr="00885B97">
              <w:rPr>
                <w:rFonts w:ascii="Footlight MT Light" w:eastAsia="Gentium Basic" w:hAnsi="Footlight MT Light" w:cs="Gentium Basic"/>
                <w:i/>
                <w:color w:val="000000"/>
                <w:sz w:val="22"/>
                <w:szCs w:val="22"/>
              </w:rPr>
              <w:t>This study analyzes Qur’anic interpretations of the rise of online gambling among Muslims in South Sulawesi and formulates prevention approaches relevant to digital technology development. The issue emerges from the increasing number of online gambling cases in the last three years, marked by the use of online game chips, hidden promotion through social media, anonymous e-wallet transactions, and overseas VPNs. This study examines how Qur’anic values, especially the prohibition of gambling in Surah Al-Baqarah verse 219 and Surah Al-M</w:t>
            </w:r>
            <w:r w:rsidR="00885B97" w:rsidRPr="00885B97">
              <w:rPr>
                <w:rFonts w:ascii="Cambria" w:eastAsia="Gentium Basic" w:hAnsi="Cambria" w:cs="Cambria"/>
                <w:i/>
                <w:color w:val="000000"/>
                <w:sz w:val="22"/>
                <w:szCs w:val="22"/>
              </w:rPr>
              <w:t>ā</w:t>
            </w:r>
            <w:r w:rsidR="00885B97" w:rsidRPr="00885B97">
              <w:rPr>
                <w:rFonts w:ascii="Footlight MT Light" w:eastAsia="Gentium Basic" w:hAnsi="Footlight MT Light" w:cs="Gentium Basic"/>
                <w:i/>
                <w:color w:val="000000"/>
                <w:sz w:val="22"/>
                <w:szCs w:val="22"/>
              </w:rPr>
              <w:t>idah verses 90-91, can serve as a theological foundation for responding to online gambling. This research uses a qualitative method with a thematic interpretation approach and phenomenological analysis based on field data and South Sulawesi Regional Police documentation. The findings show that online gambling cases have increased significantly with more complex cross-platform digital networks. Contemporary interpretations by Sayyid Quthb, M. Quraish Shihab, and Hamka affirm that gambling in digital form remains haram because it contains uncertainty, injustice, and exploitation. This study concludes that the Qur’anic prohibition of maisir remains relevant to modern cybercrime and can support Islamic Techno-Ethics-based prevention.</w:t>
            </w:r>
          </w:p>
          <w:p w14:paraId="659FB63F" w14:textId="23C401CE" w:rsidR="00D962E0" w:rsidRPr="00045649" w:rsidRDefault="00410F8E">
            <w:pPr>
              <w:jc w:val="both"/>
              <w:rPr>
                <w:rFonts w:ascii="Footlight MT Light" w:eastAsia="Gentium Basic" w:hAnsi="Footlight MT Light" w:cs="Gentium Basic"/>
                <w:i/>
                <w:color w:val="000000"/>
                <w:sz w:val="22"/>
                <w:szCs w:val="22"/>
              </w:rPr>
            </w:pPr>
            <w:r w:rsidRPr="00045649">
              <w:rPr>
                <w:rFonts w:ascii="Footlight MT Light" w:eastAsia="Gentium Basic" w:hAnsi="Footlight MT Light" w:cs="Gentium Basic"/>
                <w:b/>
                <w:color w:val="000000"/>
                <w:sz w:val="22"/>
                <w:szCs w:val="22"/>
              </w:rPr>
              <w:t>Keywords</w:t>
            </w:r>
            <w:r w:rsidRPr="00045649">
              <w:rPr>
                <w:rFonts w:ascii="Footlight MT Light" w:eastAsia="Gentium Basic" w:hAnsi="Footlight MT Light" w:cs="Gentium Basic"/>
                <w:color w:val="000000"/>
                <w:sz w:val="22"/>
                <w:szCs w:val="22"/>
              </w:rPr>
              <w:t xml:space="preserve"> </w:t>
            </w:r>
            <w:r w:rsidR="00885B97" w:rsidRPr="00045649">
              <w:rPr>
                <w:rFonts w:ascii="Footlight MT Light" w:eastAsia="Gentium Basic" w:hAnsi="Footlight MT Light" w:cs="Gentium Basic"/>
                <w:color w:val="000000"/>
                <w:sz w:val="22"/>
                <w:szCs w:val="22"/>
              </w:rPr>
              <w:t>:</w:t>
            </w:r>
            <w:r w:rsidR="00885B97" w:rsidRPr="00045649">
              <w:rPr>
                <w:rFonts w:ascii="Footlight MT Light" w:eastAsia="Gentium Basic" w:hAnsi="Footlight MT Light" w:cs="Gentium Basic"/>
                <w:b/>
                <w:color w:val="000000"/>
                <w:sz w:val="22"/>
                <w:szCs w:val="22"/>
              </w:rPr>
              <w:t xml:space="preserve"> </w:t>
            </w:r>
            <w:r w:rsidR="007E30CC" w:rsidRPr="00045649">
              <w:rPr>
                <w:rFonts w:ascii="Footlight MT Light" w:eastAsia="Gentium Basic" w:hAnsi="Footlight MT Light" w:cs="Gentium Basic"/>
                <w:i/>
                <w:color w:val="000000"/>
                <w:sz w:val="22"/>
                <w:szCs w:val="22"/>
              </w:rPr>
              <w:t xml:space="preserve">Interpretation </w:t>
            </w:r>
            <w:r w:rsidR="00885B97" w:rsidRPr="00045649">
              <w:rPr>
                <w:rFonts w:ascii="Footlight MT Light" w:eastAsia="Gentium Basic" w:hAnsi="Footlight MT Light" w:cs="Gentium Basic"/>
                <w:i/>
                <w:color w:val="000000"/>
                <w:sz w:val="22"/>
                <w:szCs w:val="22"/>
              </w:rPr>
              <w:t xml:space="preserve">Of The </w:t>
            </w:r>
            <w:r w:rsidR="007E30CC" w:rsidRPr="00045649">
              <w:rPr>
                <w:rFonts w:ascii="Footlight MT Light" w:eastAsia="Gentium Basic" w:hAnsi="Footlight MT Light" w:cs="Gentium Basic"/>
                <w:i/>
                <w:color w:val="000000"/>
                <w:sz w:val="22"/>
                <w:szCs w:val="22"/>
              </w:rPr>
              <w:t>Qur'an</w:t>
            </w:r>
            <w:r w:rsidR="00885B97" w:rsidRPr="00045649">
              <w:rPr>
                <w:rFonts w:ascii="Footlight MT Light" w:eastAsia="Gentium Basic" w:hAnsi="Footlight MT Light" w:cs="Gentium Basic"/>
                <w:i/>
                <w:color w:val="000000"/>
                <w:sz w:val="22"/>
                <w:szCs w:val="22"/>
              </w:rPr>
              <w:t xml:space="preserve">, </w:t>
            </w:r>
            <w:r w:rsidR="007E30CC" w:rsidRPr="00045649">
              <w:rPr>
                <w:rFonts w:ascii="Footlight MT Light" w:eastAsia="Gentium Basic" w:hAnsi="Footlight MT Light" w:cs="Gentium Basic"/>
                <w:i/>
                <w:color w:val="000000"/>
                <w:sz w:val="22"/>
                <w:szCs w:val="22"/>
              </w:rPr>
              <w:t>Online Gambling</w:t>
            </w:r>
            <w:r w:rsidR="00885B97" w:rsidRPr="00045649">
              <w:rPr>
                <w:rFonts w:ascii="Footlight MT Light" w:eastAsia="Gentium Basic" w:hAnsi="Footlight MT Light" w:cs="Gentium Basic"/>
                <w:i/>
                <w:color w:val="000000"/>
                <w:sz w:val="22"/>
                <w:szCs w:val="22"/>
              </w:rPr>
              <w:t xml:space="preserve">, </w:t>
            </w:r>
            <w:r w:rsidR="007E30CC" w:rsidRPr="00045649">
              <w:rPr>
                <w:rFonts w:ascii="Footlight MT Light" w:eastAsia="Gentium Basic" w:hAnsi="Footlight MT Light" w:cs="Gentium Basic"/>
                <w:i/>
                <w:color w:val="000000"/>
                <w:sz w:val="22"/>
                <w:szCs w:val="22"/>
              </w:rPr>
              <w:t>Cybercrime</w:t>
            </w:r>
          </w:p>
          <w:p w14:paraId="3B1F72FE" w14:textId="77777777" w:rsidR="00D962E0" w:rsidRPr="00045649" w:rsidRDefault="00D962E0">
            <w:pPr>
              <w:jc w:val="both"/>
              <w:rPr>
                <w:rFonts w:ascii="Footlight MT Light" w:eastAsia="Gentium Basic" w:hAnsi="Footlight MT Light" w:cs="Gentium Basic"/>
                <w:i/>
                <w:color w:val="000000"/>
                <w:sz w:val="22"/>
                <w:szCs w:val="22"/>
              </w:rPr>
            </w:pPr>
          </w:p>
          <w:p w14:paraId="408B4786" w14:textId="6CD924EA" w:rsidR="00D962E0" w:rsidRPr="00045649" w:rsidRDefault="00410F8E">
            <w:pPr>
              <w:jc w:val="both"/>
              <w:rPr>
                <w:rFonts w:ascii="Footlight MT Light" w:eastAsia="Gentium Basic" w:hAnsi="Footlight MT Light" w:cs="Gentium Basic"/>
                <w:color w:val="000000"/>
                <w:sz w:val="22"/>
                <w:szCs w:val="22"/>
              </w:rPr>
            </w:pPr>
            <w:r w:rsidRPr="00045649">
              <w:rPr>
                <w:rFonts w:ascii="Footlight MT Light" w:eastAsia="Gentium Basic" w:hAnsi="Footlight MT Light" w:cs="Gentium Basic"/>
                <w:b/>
                <w:color w:val="000000"/>
                <w:sz w:val="22"/>
                <w:szCs w:val="22"/>
              </w:rPr>
              <w:t>Abstrak</w:t>
            </w:r>
            <w:r w:rsidRPr="00045649">
              <w:rPr>
                <w:rFonts w:ascii="Footlight MT Light" w:eastAsia="Gentium Basic" w:hAnsi="Footlight MT Light" w:cs="Gentium Basic"/>
                <w:color w:val="000000"/>
                <w:sz w:val="22"/>
                <w:szCs w:val="22"/>
              </w:rPr>
              <w:t xml:space="preserve"> : </w:t>
            </w:r>
            <w:r w:rsidR="00885B97" w:rsidRPr="00885B97">
              <w:rPr>
                <w:rFonts w:ascii="Footlight MT Light" w:eastAsia="Gentium Basic" w:hAnsi="Footlight MT Light" w:cs="Gentium Basic"/>
                <w:color w:val="000000"/>
                <w:sz w:val="22"/>
                <w:szCs w:val="22"/>
              </w:rPr>
              <w:t xml:space="preserve">Penelitian ini menganalisis penafsiran Al-Qur’an tentang maraknya judi online di kalangan umat Islam di Sulawesi Selatan serta merumuskan pendekatan pencegahan yang relevan dengan perkembangan teknologi digital. Isu ini muncul dari meningkatnya kasus judi online dalam tiga tahun terakhir, yang ditandai dengan penggunaan chip permainan online, promosi terselubung melalui media sosial, transaksi dompet elektronik anonim, dan VPN luar negeri. Penelitian ini mengkaji nilai-nilai Al-Qur’an, khususnya larangan judi dalam Surah Al-Baqarah ayat 219 dan Surah Al-Maidah ayat 90-91, sebagai dasar teologis dalam merespons fenomena judi online. Metode yang digunakan adalah kualitatif dengan pendekatan tafsir tematik dan analisis fenomenologis berdasarkan data lapangan serta dokumentasi Kepolisian Daerah Sulawesi Selatan. Hasil penelitian menunjukkan bahwa kasus judi online meningkat secara signifikan dengan modus operandi yang semakin kompleks dan melibatkan jaringan digital lintas platform. Penafsiran Sayyid Quthb, M. Quraish Shihab, dan Hamka menegaskan bahwa judi digital tetap haram karena mengandung ketidakpastian, ketidakadilan, dan eksploitasi. Penelitian ini </w:t>
            </w:r>
            <w:r w:rsidR="00885B97" w:rsidRPr="00885B97">
              <w:rPr>
                <w:rFonts w:ascii="Footlight MT Light" w:eastAsia="Gentium Basic" w:hAnsi="Footlight MT Light" w:cs="Gentium Basic"/>
                <w:color w:val="000000"/>
                <w:sz w:val="22"/>
                <w:szCs w:val="22"/>
              </w:rPr>
              <w:lastRenderedPageBreak/>
              <w:t>menyimpulkan bahwa larangan maisir dalam Al-Qur’an tetap relevan untuk menghadapi kejahatan siber modern melalui pendekatan Islamic Techno-Ethics</w:t>
            </w:r>
            <w:r w:rsidR="007E30CC" w:rsidRPr="00045649">
              <w:rPr>
                <w:rFonts w:ascii="Footlight MT Light" w:eastAsia="Gentium Basic" w:hAnsi="Footlight MT Light" w:cs="Gentium Basic"/>
                <w:color w:val="000000"/>
                <w:sz w:val="22"/>
                <w:szCs w:val="22"/>
              </w:rPr>
              <w:t>.</w:t>
            </w:r>
          </w:p>
          <w:p w14:paraId="3A43C3EF" w14:textId="77777777" w:rsidR="00D962E0" w:rsidRPr="00045649" w:rsidRDefault="00D962E0">
            <w:pPr>
              <w:jc w:val="both"/>
              <w:rPr>
                <w:rFonts w:ascii="Footlight MT Light" w:eastAsia="Gentium Basic" w:hAnsi="Footlight MT Light" w:cs="Gentium Basic"/>
                <w:color w:val="000000"/>
                <w:sz w:val="22"/>
                <w:szCs w:val="22"/>
              </w:rPr>
            </w:pPr>
          </w:p>
          <w:p w14:paraId="517E4F62" w14:textId="1A7CBFCA" w:rsidR="00D962E0" w:rsidRPr="00885B97" w:rsidRDefault="00410F8E">
            <w:pPr>
              <w:jc w:val="both"/>
              <w:rPr>
                <w:rFonts w:ascii="Footlight MT Light" w:eastAsia="Gentium Basic" w:hAnsi="Footlight MT Light" w:cs="Gentium Basic"/>
                <w:color w:val="000000"/>
                <w:sz w:val="22"/>
                <w:szCs w:val="22"/>
              </w:rPr>
            </w:pPr>
            <w:r w:rsidRPr="00045649">
              <w:rPr>
                <w:rFonts w:ascii="Footlight MT Light" w:eastAsia="Gentium Basic" w:hAnsi="Footlight MT Light" w:cs="Gentium Basic"/>
                <w:b/>
                <w:color w:val="000000"/>
                <w:sz w:val="22"/>
                <w:szCs w:val="22"/>
              </w:rPr>
              <w:t>Kata Kunci</w:t>
            </w:r>
            <w:r w:rsidR="00885B97">
              <w:rPr>
                <w:rFonts w:ascii="Footlight MT Light" w:eastAsia="Gentium Basic" w:hAnsi="Footlight MT Light" w:cs="Gentium Basic"/>
                <w:b/>
                <w:color w:val="000000"/>
                <w:sz w:val="22"/>
                <w:szCs w:val="22"/>
              </w:rPr>
              <w:t>:</w:t>
            </w:r>
            <w:r w:rsidRPr="00045649">
              <w:rPr>
                <w:rFonts w:ascii="Footlight MT Light" w:eastAsia="Gentium Basic" w:hAnsi="Footlight MT Light" w:cs="Gentium Basic"/>
                <w:color w:val="000000"/>
                <w:sz w:val="22"/>
                <w:szCs w:val="22"/>
              </w:rPr>
              <w:t xml:space="preserve"> </w:t>
            </w:r>
            <w:r w:rsidR="00885B97" w:rsidRPr="00045649">
              <w:rPr>
                <w:rFonts w:ascii="Footlight MT Light" w:eastAsia="Gentium Basic" w:hAnsi="Footlight MT Light" w:cs="Gentium Basic"/>
                <w:color w:val="000000"/>
                <w:sz w:val="22"/>
                <w:szCs w:val="22"/>
              </w:rPr>
              <w:t>Penafsiran Al-Quran, Perjudian Online, Kejahatan Siber</w:t>
            </w:r>
          </w:p>
        </w:tc>
      </w:tr>
      <w:tr w:rsidR="00D962E0" w:rsidRPr="00045649" w14:paraId="632EF717" w14:textId="77777777">
        <w:trPr>
          <w:trHeight w:val="5547"/>
        </w:trPr>
        <w:tc>
          <w:tcPr>
            <w:tcW w:w="4111" w:type="dxa"/>
            <w:vMerge w:val="restart"/>
            <w:tcBorders>
              <w:top w:val="dashed" w:sz="4" w:space="0" w:color="000000"/>
              <w:left w:val="dashed" w:sz="4" w:space="0" w:color="000000"/>
              <w:bottom w:val="dashed" w:sz="4" w:space="0" w:color="000000"/>
              <w:right w:val="dashed" w:sz="4" w:space="0" w:color="000000"/>
            </w:tcBorders>
            <w:tcMar>
              <w:top w:w="0" w:type="dxa"/>
              <w:left w:w="108" w:type="dxa"/>
              <w:bottom w:w="0" w:type="dxa"/>
              <w:right w:w="108" w:type="dxa"/>
            </w:tcMar>
          </w:tcPr>
          <w:p w14:paraId="6EF78782" w14:textId="77777777" w:rsidR="00367C82" w:rsidRPr="00DB117D" w:rsidRDefault="00367C82" w:rsidP="00367C82">
            <w:pPr>
              <w:spacing w:before="120" w:line="360" w:lineRule="auto"/>
              <w:jc w:val="center"/>
              <w:rPr>
                <w:rFonts w:ascii="Footlight MT Light" w:eastAsia="Calibri" w:hAnsi="Footlight MT Light" w:cs="Calibri"/>
                <w:b/>
                <w:color w:val="000000"/>
                <w:sz w:val="22"/>
                <w:szCs w:val="22"/>
              </w:rPr>
            </w:pPr>
            <w:r w:rsidRPr="00DB117D">
              <w:rPr>
                <w:rFonts w:ascii="Footlight MT Light" w:eastAsia="Calibri" w:hAnsi="Footlight MT Light" w:cs="Calibri"/>
                <w:b/>
                <w:color w:val="000000"/>
                <w:sz w:val="22"/>
                <w:szCs w:val="22"/>
              </w:rPr>
              <w:t>e-ISSN: 2964-2981</w:t>
            </w:r>
          </w:p>
          <w:p w14:paraId="2916835C" w14:textId="77777777" w:rsidR="00367C82" w:rsidRPr="00DB117D" w:rsidRDefault="00367C82" w:rsidP="00367C82">
            <w:pPr>
              <w:spacing w:line="360" w:lineRule="auto"/>
              <w:ind w:left="-105" w:right="-108"/>
              <w:jc w:val="center"/>
              <w:rPr>
                <w:rFonts w:ascii="Footlight MT Light" w:eastAsia="Calibri" w:hAnsi="Footlight MT Light" w:cs="Calibri"/>
                <w:b/>
                <w:color w:val="000000"/>
                <w:sz w:val="22"/>
                <w:szCs w:val="22"/>
              </w:rPr>
            </w:pPr>
            <w:r w:rsidRPr="00DB117D">
              <w:rPr>
                <w:rFonts w:ascii="Footlight MT Light" w:eastAsia="Calibri" w:hAnsi="Footlight MT Light" w:cs="Calibri"/>
                <w:b/>
                <w:color w:val="000000"/>
                <w:sz w:val="22"/>
                <w:szCs w:val="22"/>
              </w:rPr>
              <w:t>ARMADA : Jurnal Penelitian Multidisiplin</w:t>
            </w:r>
          </w:p>
          <w:p w14:paraId="5FBA2115" w14:textId="77777777" w:rsidR="00367C82" w:rsidRPr="00DB117D" w:rsidRDefault="00367C82" w:rsidP="00367C82">
            <w:pPr>
              <w:ind w:left="-105" w:right="-102"/>
              <w:jc w:val="center"/>
              <w:rPr>
                <w:rFonts w:ascii="Footlight MT Light" w:eastAsia="Calibri" w:hAnsi="Footlight MT Light" w:cs="Calibri"/>
                <w:color w:val="0070C0"/>
                <w:sz w:val="18"/>
                <w:szCs w:val="18"/>
              </w:rPr>
            </w:pPr>
            <w:hyperlink r:id="rId9">
              <w:r w:rsidRPr="00DB117D">
                <w:rPr>
                  <w:rFonts w:ascii="Footlight MT Light" w:eastAsia="Calibri" w:hAnsi="Footlight MT Light" w:cs="Calibri"/>
                  <w:color w:val="0070C0"/>
                  <w:sz w:val="18"/>
                  <w:szCs w:val="18"/>
                </w:rPr>
                <w:t>https://ejournal.45mataram.ac.id/</w:t>
              </w:r>
              <w:r w:rsidRPr="005E4562">
                <w:rPr>
                  <w:rFonts w:ascii="Footlight MT Light" w:eastAsia="Calibri" w:hAnsi="Footlight MT Light" w:cs="Calibri"/>
                  <w:color w:val="0070C0"/>
                  <w:kern w:val="2"/>
                  <w:sz w:val="18"/>
                  <w:szCs w:val="18"/>
                  <w:lang w:val="en-ID"/>
                </w:rPr>
                <w:t>index</w:t>
              </w:r>
              <w:r w:rsidRPr="00DB117D">
                <w:rPr>
                  <w:rFonts w:ascii="Footlight MT Light" w:eastAsia="Calibri" w:hAnsi="Footlight MT Light" w:cs="Calibri"/>
                  <w:color w:val="0070C0"/>
                  <w:sz w:val="18"/>
                  <w:szCs w:val="18"/>
                </w:rPr>
                <w:t>.php/armada</w:t>
              </w:r>
            </w:hyperlink>
          </w:p>
          <w:p w14:paraId="02941978" w14:textId="77777777" w:rsidR="00367C82" w:rsidRPr="00DB117D" w:rsidRDefault="00367C82" w:rsidP="00367C82">
            <w:pPr>
              <w:tabs>
                <w:tab w:val="center" w:pos="4680"/>
                <w:tab w:val="right" w:pos="9360"/>
              </w:tabs>
              <w:spacing w:before="60" w:after="80" w:line="360" w:lineRule="auto"/>
              <w:jc w:val="center"/>
              <w:rPr>
                <w:rFonts w:ascii="Footlight MT Light" w:eastAsia="Calibri" w:hAnsi="Footlight MT Light" w:cs="Calibri"/>
                <w:color w:val="000000"/>
                <w:sz w:val="18"/>
                <w:szCs w:val="18"/>
              </w:rPr>
            </w:pPr>
            <w:r w:rsidRPr="00DB117D">
              <w:rPr>
                <w:rFonts w:ascii="Footlight MT Light" w:eastAsia="Calibri" w:hAnsi="Footlight MT Light" w:cs="Calibri"/>
                <w:color w:val="000000"/>
                <w:sz w:val="18"/>
                <w:szCs w:val="18"/>
              </w:rPr>
              <w:t>Vol. 04, No. 06 Juni, 2026</w:t>
            </w:r>
          </w:p>
          <w:p w14:paraId="06A1C738" w14:textId="40DCEEDC" w:rsidR="00367C82" w:rsidRPr="00DB117D" w:rsidRDefault="00367C82" w:rsidP="00367C82">
            <w:pPr>
              <w:spacing w:line="360" w:lineRule="auto"/>
              <w:jc w:val="center"/>
              <w:rPr>
                <w:rFonts w:ascii="Footlight MT Light" w:eastAsia="Calibri" w:hAnsi="Footlight MT Light" w:cs="Calibri"/>
                <w:color w:val="000000"/>
              </w:rPr>
            </w:pPr>
            <w:r w:rsidRPr="00DB117D">
              <w:rPr>
                <w:rFonts w:ascii="Footlight MT Light" w:eastAsia="Calibri" w:hAnsi="Footlight MT Light" w:cs="Calibri"/>
                <w:color w:val="000000"/>
                <w:sz w:val="18"/>
                <w:szCs w:val="18"/>
              </w:rPr>
              <w:t xml:space="preserve">Page: </w:t>
            </w:r>
            <w:r w:rsidR="00742EFA">
              <w:rPr>
                <w:rFonts w:ascii="Footlight MT Light" w:eastAsia="Calibri" w:hAnsi="Footlight MT Light" w:cs="Calibri"/>
                <w:color w:val="000000"/>
                <w:sz w:val="18"/>
                <w:szCs w:val="18"/>
              </w:rPr>
              <w:t>2259</w:t>
            </w:r>
            <w:r>
              <w:rPr>
                <w:rFonts w:ascii="Footlight MT Light" w:eastAsia="Calibri" w:hAnsi="Footlight MT Light" w:cs="Calibri"/>
                <w:color w:val="000000"/>
                <w:sz w:val="18"/>
                <w:szCs w:val="18"/>
              </w:rPr>
              <w:t>-</w:t>
            </w:r>
            <w:r w:rsidR="00742EFA">
              <w:rPr>
                <w:rFonts w:ascii="Footlight MT Light" w:eastAsia="Calibri" w:hAnsi="Footlight MT Light" w:cs="Calibri"/>
                <w:color w:val="000000"/>
                <w:sz w:val="18"/>
                <w:szCs w:val="18"/>
              </w:rPr>
              <w:t>2269</w:t>
            </w:r>
          </w:p>
          <w:p w14:paraId="076472C9" w14:textId="77777777" w:rsidR="00367C82" w:rsidRPr="00DB117D" w:rsidRDefault="00367C82" w:rsidP="00367C82">
            <w:pPr>
              <w:spacing w:line="360" w:lineRule="auto"/>
              <w:jc w:val="center"/>
              <w:rPr>
                <w:rFonts w:ascii="Footlight MT Light" w:eastAsia="Calibri" w:hAnsi="Footlight MT Light" w:cs="Calibri"/>
                <w:b/>
                <w:color w:val="000000"/>
                <w:sz w:val="22"/>
                <w:szCs w:val="22"/>
              </w:rPr>
            </w:pPr>
          </w:p>
          <w:p w14:paraId="33943F69" w14:textId="77777777" w:rsidR="00367C82" w:rsidRPr="00DB117D" w:rsidRDefault="00367C82" w:rsidP="00367C82">
            <w:pPr>
              <w:spacing w:line="360" w:lineRule="auto"/>
              <w:jc w:val="center"/>
              <w:rPr>
                <w:rFonts w:ascii="Footlight MT Light" w:eastAsia="Calibri" w:hAnsi="Footlight MT Light" w:cs="Calibri"/>
                <w:b/>
                <w:color w:val="000000"/>
              </w:rPr>
            </w:pPr>
            <w:r w:rsidRPr="00DB117D">
              <w:rPr>
                <w:rFonts w:ascii="Footlight MT Light" w:eastAsia="Calibri" w:hAnsi="Footlight MT Light" w:cs="Calibri"/>
                <w:b/>
                <w:color w:val="000000"/>
              </w:rPr>
              <w:t>DOI:</w:t>
            </w:r>
          </w:p>
          <w:p w14:paraId="595164C8" w14:textId="121D97E4" w:rsidR="00367C82" w:rsidRPr="00DB117D" w:rsidRDefault="00367C82" w:rsidP="00367C82">
            <w:pPr>
              <w:spacing w:line="360" w:lineRule="auto"/>
              <w:jc w:val="center"/>
              <w:rPr>
                <w:rFonts w:ascii="Footlight MT Light" w:eastAsia="Calibri" w:hAnsi="Footlight MT Light" w:cs="Calibri"/>
                <w:color w:val="002060"/>
                <w:sz w:val="18"/>
                <w:szCs w:val="18"/>
              </w:rPr>
            </w:pPr>
            <w:r w:rsidRPr="00DB117D">
              <w:rPr>
                <w:rFonts w:ascii="Footlight MT Light" w:eastAsia="Calibri" w:hAnsi="Footlight MT Light" w:cs="Calibri"/>
                <w:color w:val="0070C0"/>
                <w:sz w:val="18"/>
                <w:szCs w:val="18"/>
              </w:rPr>
              <w:t>https://doi.org/10.55681/armada.</w:t>
            </w:r>
            <w:r w:rsidRPr="00DB117D">
              <w:rPr>
                <w:rFonts w:ascii="Footlight MT Light" w:eastAsia="Calibri" w:hAnsi="Footlight MT Light" w:cs="Calibri"/>
                <w:bCs/>
                <w:color w:val="0070C0"/>
                <w:sz w:val="18"/>
                <w:szCs w:val="18"/>
              </w:rPr>
              <w:t>v4i6.2</w:t>
            </w:r>
            <w:r>
              <w:rPr>
                <w:rFonts w:ascii="Footlight MT Light" w:eastAsia="Calibri" w:hAnsi="Footlight MT Light" w:cs="Calibri"/>
                <w:bCs/>
                <w:color w:val="0070C0"/>
                <w:sz w:val="18"/>
                <w:szCs w:val="18"/>
              </w:rPr>
              <w:t>605</w:t>
            </w:r>
          </w:p>
          <w:p w14:paraId="2294241A" w14:textId="77777777" w:rsidR="00367C82" w:rsidRPr="00DB117D" w:rsidRDefault="00367C82" w:rsidP="00367C82">
            <w:pPr>
              <w:spacing w:line="360" w:lineRule="auto"/>
              <w:rPr>
                <w:rFonts w:ascii="Footlight MT Light" w:eastAsia="Calibri" w:hAnsi="Footlight MT Light" w:cs="Calibri"/>
                <w:color w:val="002060"/>
                <w:sz w:val="18"/>
                <w:szCs w:val="18"/>
              </w:rPr>
            </w:pPr>
          </w:p>
          <w:p w14:paraId="2839ABF3" w14:textId="77777777" w:rsidR="00367C82" w:rsidRPr="00DB117D" w:rsidRDefault="00367C82" w:rsidP="00367C82">
            <w:pPr>
              <w:spacing w:line="360" w:lineRule="auto"/>
              <w:jc w:val="center"/>
              <w:rPr>
                <w:rFonts w:ascii="Footlight MT Light" w:eastAsia="Calibri" w:hAnsi="Footlight MT Light" w:cs="Calibri"/>
                <w:b/>
                <w:color w:val="000000"/>
              </w:rPr>
            </w:pPr>
            <w:r w:rsidRPr="00DB117D">
              <w:rPr>
                <w:rFonts w:ascii="Footlight MT Light" w:eastAsia="Calibri" w:hAnsi="Footlight MT Light" w:cs="Calibri"/>
                <w:b/>
                <w:color w:val="000000"/>
              </w:rPr>
              <w:t>Article History:</w:t>
            </w:r>
          </w:p>
          <w:p w14:paraId="47864D16" w14:textId="2ACF76C0" w:rsidR="00367C82" w:rsidRPr="00DB117D" w:rsidRDefault="00367C82" w:rsidP="00367C82">
            <w:pPr>
              <w:spacing w:line="360" w:lineRule="auto"/>
              <w:jc w:val="center"/>
              <w:rPr>
                <w:rFonts w:ascii="Footlight MT Light" w:eastAsia="Calibri" w:hAnsi="Footlight MT Light" w:cs="Calibri"/>
                <w:bCs/>
                <w:color w:val="000000"/>
                <w:sz w:val="18"/>
                <w:szCs w:val="18"/>
              </w:rPr>
            </w:pPr>
            <w:r w:rsidRPr="00DB117D">
              <w:rPr>
                <w:rFonts w:ascii="Footlight MT Light" w:eastAsia="Calibri" w:hAnsi="Footlight MT Light" w:cs="Calibri"/>
                <w:bCs/>
                <w:color w:val="000000"/>
                <w:sz w:val="18"/>
                <w:szCs w:val="18"/>
              </w:rPr>
              <w:t xml:space="preserve">Received: April </w:t>
            </w:r>
            <w:r>
              <w:rPr>
                <w:rFonts w:ascii="Footlight MT Light" w:eastAsia="Calibri" w:hAnsi="Footlight MT Light" w:cs="Calibri"/>
                <w:bCs/>
                <w:color w:val="000000"/>
                <w:sz w:val="18"/>
                <w:szCs w:val="18"/>
              </w:rPr>
              <w:t>12</w:t>
            </w:r>
            <w:r w:rsidRPr="00DB117D">
              <w:rPr>
                <w:rFonts w:ascii="Footlight MT Light" w:eastAsia="Calibri" w:hAnsi="Footlight MT Light" w:cs="Calibri"/>
                <w:bCs/>
                <w:color w:val="000000"/>
                <w:sz w:val="18"/>
                <w:szCs w:val="18"/>
              </w:rPr>
              <w:t>, 2026</w:t>
            </w:r>
          </w:p>
          <w:p w14:paraId="06482D99" w14:textId="76906A87" w:rsidR="00367C82" w:rsidRPr="00DB117D" w:rsidRDefault="00367C82" w:rsidP="00367C82">
            <w:pPr>
              <w:spacing w:line="360" w:lineRule="auto"/>
              <w:jc w:val="center"/>
              <w:rPr>
                <w:rFonts w:ascii="Footlight MT Light" w:eastAsia="Calibri" w:hAnsi="Footlight MT Light" w:cs="Calibri"/>
                <w:bCs/>
                <w:color w:val="000000"/>
                <w:sz w:val="18"/>
                <w:szCs w:val="18"/>
              </w:rPr>
            </w:pPr>
            <w:r w:rsidRPr="00DB117D">
              <w:rPr>
                <w:rFonts w:ascii="Footlight MT Light" w:eastAsia="Calibri" w:hAnsi="Footlight MT Light" w:cs="Calibri"/>
                <w:bCs/>
                <w:color w:val="000000"/>
                <w:sz w:val="18"/>
                <w:szCs w:val="18"/>
              </w:rPr>
              <w:t xml:space="preserve">Revised: Mei </w:t>
            </w:r>
            <w:r>
              <w:rPr>
                <w:rFonts w:ascii="Footlight MT Light" w:eastAsia="Calibri" w:hAnsi="Footlight MT Light" w:cs="Calibri"/>
                <w:bCs/>
                <w:color w:val="000000"/>
                <w:sz w:val="18"/>
                <w:szCs w:val="18"/>
              </w:rPr>
              <w:t>11</w:t>
            </w:r>
            <w:r w:rsidRPr="00DB117D">
              <w:rPr>
                <w:rFonts w:ascii="Footlight MT Light" w:eastAsia="Calibri" w:hAnsi="Footlight MT Light" w:cs="Calibri"/>
                <w:bCs/>
                <w:color w:val="000000"/>
                <w:sz w:val="18"/>
                <w:szCs w:val="18"/>
              </w:rPr>
              <w:t>, 2026</w:t>
            </w:r>
          </w:p>
          <w:p w14:paraId="1A09E994" w14:textId="2D6B0FD9" w:rsidR="00367C82" w:rsidRPr="00DB117D" w:rsidRDefault="00367C82" w:rsidP="00367C82">
            <w:pPr>
              <w:jc w:val="center"/>
              <w:rPr>
                <w:rFonts w:ascii="Footlight MT Light" w:eastAsia="Calibri" w:hAnsi="Footlight MT Light" w:cs="Calibri"/>
                <w:bCs/>
                <w:color w:val="000000"/>
                <w:sz w:val="18"/>
                <w:szCs w:val="18"/>
              </w:rPr>
            </w:pPr>
            <w:r w:rsidRPr="00DB117D">
              <w:rPr>
                <w:rFonts w:ascii="Footlight MT Light" w:eastAsia="Calibri" w:hAnsi="Footlight MT Light" w:cs="Calibri"/>
                <w:bCs/>
                <w:color w:val="000000"/>
                <w:sz w:val="18"/>
                <w:szCs w:val="18"/>
              </w:rPr>
              <w:t>Accepted: Juni 1</w:t>
            </w:r>
            <w:r>
              <w:rPr>
                <w:rFonts w:ascii="Footlight MT Light" w:eastAsia="Calibri" w:hAnsi="Footlight MT Light" w:cs="Calibri"/>
                <w:bCs/>
                <w:color w:val="000000"/>
                <w:sz w:val="18"/>
                <w:szCs w:val="18"/>
              </w:rPr>
              <w:t>9</w:t>
            </w:r>
            <w:r w:rsidRPr="00DB117D">
              <w:rPr>
                <w:rFonts w:ascii="Footlight MT Light" w:eastAsia="Calibri" w:hAnsi="Footlight MT Light" w:cs="Calibri"/>
                <w:bCs/>
                <w:color w:val="000000"/>
                <w:sz w:val="18"/>
                <w:szCs w:val="18"/>
              </w:rPr>
              <w:t>, 2026</w:t>
            </w:r>
          </w:p>
          <w:p w14:paraId="6F0B276B" w14:textId="26D5B117" w:rsidR="00D962E0" w:rsidRPr="00045649" w:rsidRDefault="00D962E0">
            <w:pPr>
              <w:spacing w:line="360" w:lineRule="auto"/>
              <w:jc w:val="center"/>
              <w:rPr>
                <w:rFonts w:ascii="Footlight MT Light" w:eastAsia="Gentium Basic" w:hAnsi="Footlight MT Light" w:cs="Gentium Basic"/>
                <w:color w:val="000000"/>
              </w:rPr>
            </w:pPr>
          </w:p>
        </w:tc>
        <w:tc>
          <w:tcPr>
            <w:tcW w:w="141" w:type="dxa"/>
            <w:tcBorders>
              <w:left w:val="dashed" w:sz="4" w:space="0" w:color="000000"/>
            </w:tcBorders>
          </w:tcPr>
          <w:p w14:paraId="19F43952" w14:textId="77777777" w:rsidR="00D962E0" w:rsidRPr="00045649" w:rsidRDefault="00D962E0">
            <w:pPr>
              <w:jc w:val="both"/>
              <w:rPr>
                <w:rFonts w:ascii="Footlight MT Light" w:eastAsia="Gentium Basic" w:hAnsi="Footlight MT Light" w:cs="Gentium Basic"/>
                <w:b/>
                <w:i/>
                <w:color w:val="000000"/>
                <w:sz w:val="22"/>
                <w:szCs w:val="22"/>
              </w:rPr>
            </w:pPr>
          </w:p>
        </w:tc>
        <w:tc>
          <w:tcPr>
            <w:tcW w:w="5387" w:type="dxa"/>
            <w:vMerge/>
            <w:shd w:val="clear" w:color="auto" w:fill="D0CECE"/>
            <w:tcMar>
              <w:top w:w="0" w:type="dxa"/>
              <w:left w:w="108" w:type="dxa"/>
              <w:bottom w:w="0" w:type="dxa"/>
              <w:right w:w="108" w:type="dxa"/>
            </w:tcMar>
          </w:tcPr>
          <w:p w14:paraId="4947D123" w14:textId="77777777" w:rsidR="00D962E0" w:rsidRPr="00045649" w:rsidRDefault="00D962E0">
            <w:pPr>
              <w:widowControl w:val="0"/>
              <w:pBdr>
                <w:top w:val="nil"/>
                <w:left w:val="nil"/>
                <w:bottom w:val="nil"/>
                <w:right w:val="nil"/>
                <w:between w:val="nil"/>
              </w:pBdr>
              <w:spacing w:line="276" w:lineRule="auto"/>
              <w:rPr>
                <w:rFonts w:ascii="Footlight MT Light" w:eastAsia="Gentium Basic" w:hAnsi="Footlight MT Light" w:cs="Gentium Basic"/>
                <w:b/>
                <w:i/>
                <w:color w:val="000000"/>
                <w:sz w:val="22"/>
                <w:szCs w:val="22"/>
              </w:rPr>
            </w:pPr>
          </w:p>
        </w:tc>
      </w:tr>
      <w:tr w:rsidR="00D962E0" w:rsidRPr="00045649" w14:paraId="4E719B69" w14:textId="77777777">
        <w:tc>
          <w:tcPr>
            <w:tcW w:w="4111" w:type="dxa"/>
            <w:vMerge/>
            <w:tcBorders>
              <w:top w:val="dashed" w:sz="4" w:space="0" w:color="000000"/>
              <w:left w:val="dashed" w:sz="4" w:space="0" w:color="000000"/>
              <w:bottom w:val="dashed" w:sz="4" w:space="0" w:color="000000"/>
              <w:right w:val="dashed" w:sz="4" w:space="0" w:color="000000"/>
            </w:tcBorders>
            <w:tcMar>
              <w:top w:w="0" w:type="dxa"/>
              <w:left w:w="108" w:type="dxa"/>
              <w:bottom w:w="0" w:type="dxa"/>
              <w:right w:w="108" w:type="dxa"/>
            </w:tcMar>
          </w:tcPr>
          <w:p w14:paraId="1BCA2338" w14:textId="77777777" w:rsidR="00D962E0" w:rsidRPr="00045649" w:rsidRDefault="00D962E0">
            <w:pPr>
              <w:widowControl w:val="0"/>
              <w:pBdr>
                <w:top w:val="nil"/>
                <w:left w:val="nil"/>
                <w:bottom w:val="nil"/>
                <w:right w:val="nil"/>
                <w:between w:val="nil"/>
              </w:pBdr>
              <w:spacing w:line="276" w:lineRule="auto"/>
              <w:rPr>
                <w:rFonts w:ascii="Footlight MT Light" w:eastAsia="Gentium Basic" w:hAnsi="Footlight MT Light" w:cs="Gentium Basic"/>
                <w:b/>
                <w:i/>
                <w:color w:val="000000"/>
                <w:sz w:val="22"/>
                <w:szCs w:val="22"/>
              </w:rPr>
            </w:pPr>
          </w:p>
        </w:tc>
        <w:tc>
          <w:tcPr>
            <w:tcW w:w="141" w:type="dxa"/>
            <w:tcBorders>
              <w:left w:val="dashed" w:sz="4" w:space="0" w:color="000000"/>
            </w:tcBorders>
          </w:tcPr>
          <w:p w14:paraId="34B5EA78" w14:textId="77777777" w:rsidR="00D962E0" w:rsidRPr="00045649" w:rsidRDefault="00D962E0">
            <w:pPr>
              <w:jc w:val="center"/>
              <w:rPr>
                <w:rFonts w:ascii="Footlight MT Light" w:eastAsia="Gentium Basic" w:hAnsi="Footlight MT Light" w:cs="Gentium Basic"/>
                <w:color w:val="231F20"/>
                <w:sz w:val="18"/>
                <w:szCs w:val="18"/>
              </w:rPr>
            </w:pPr>
          </w:p>
        </w:tc>
        <w:tc>
          <w:tcPr>
            <w:tcW w:w="5387" w:type="dxa"/>
            <w:vMerge/>
            <w:shd w:val="clear" w:color="auto" w:fill="D0CECE"/>
            <w:tcMar>
              <w:top w:w="0" w:type="dxa"/>
              <w:left w:w="108" w:type="dxa"/>
              <w:bottom w:w="0" w:type="dxa"/>
              <w:right w:w="108" w:type="dxa"/>
            </w:tcMar>
          </w:tcPr>
          <w:p w14:paraId="41F0D03D" w14:textId="77777777" w:rsidR="00D962E0" w:rsidRPr="00045649" w:rsidRDefault="00D962E0">
            <w:pPr>
              <w:widowControl w:val="0"/>
              <w:pBdr>
                <w:top w:val="nil"/>
                <w:left w:val="nil"/>
                <w:bottom w:val="nil"/>
                <w:right w:val="nil"/>
                <w:between w:val="nil"/>
              </w:pBdr>
              <w:spacing w:line="276" w:lineRule="auto"/>
              <w:rPr>
                <w:rFonts w:ascii="Footlight MT Light" w:eastAsia="Gentium Basic" w:hAnsi="Footlight MT Light" w:cs="Gentium Basic"/>
                <w:color w:val="231F20"/>
                <w:sz w:val="18"/>
                <w:szCs w:val="18"/>
              </w:rPr>
            </w:pPr>
          </w:p>
        </w:tc>
      </w:tr>
    </w:tbl>
    <w:p w14:paraId="7763F085" w14:textId="77777777" w:rsidR="00D962E0" w:rsidRPr="00045649" w:rsidRDefault="00D962E0">
      <w:pPr>
        <w:pBdr>
          <w:top w:val="nil"/>
          <w:left w:val="nil"/>
          <w:bottom w:val="nil"/>
          <w:right w:val="nil"/>
          <w:between w:val="nil"/>
        </w:pBdr>
        <w:rPr>
          <w:rFonts w:ascii="Footlight MT Light" w:hAnsi="Footlight MT Light"/>
          <w:color w:val="000000"/>
        </w:rPr>
      </w:pPr>
    </w:p>
    <w:p w14:paraId="500F154D" w14:textId="77777777" w:rsidR="00D962E0" w:rsidRPr="00045649" w:rsidRDefault="00D962E0">
      <w:pPr>
        <w:pBdr>
          <w:top w:val="nil"/>
          <w:left w:val="nil"/>
          <w:bottom w:val="nil"/>
          <w:right w:val="nil"/>
          <w:between w:val="nil"/>
        </w:pBdr>
        <w:rPr>
          <w:rFonts w:ascii="Footlight MT Light" w:hAnsi="Footlight MT Light"/>
          <w:color w:val="000000"/>
        </w:rPr>
        <w:sectPr w:rsidR="00D962E0" w:rsidRPr="00045649" w:rsidSect="00742EFA">
          <w:headerReference w:type="default" r:id="rId10"/>
          <w:footerReference w:type="default" r:id="rId11"/>
          <w:footerReference w:type="first" r:id="rId12"/>
          <w:pgSz w:w="11906" w:h="16838"/>
          <w:pgMar w:top="1418" w:right="1134" w:bottom="1418" w:left="1134" w:header="0" w:footer="0" w:gutter="0"/>
          <w:pgNumType w:start="2259"/>
          <w:cols w:space="720"/>
          <w:titlePg/>
        </w:sectPr>
      </w:pPr>
    </w:p>
    <w:p w14:paraId="6DB115E5" w14:textId="4055BC26" w:rsidR="00D962E0" w:rsidRPr="00045649" w:rsidRDefault="00410F8E">
      <w:pPr>
        <w:pBdr>
          <w:top w:val="nil"/>
          <w:left w:val="nil"/>
          <w:bottom w:val="nil"/>
          <w:right w:val="nil"/>
          <w:between w:val="nil"/>
        </w:pBdr>
        <w:rPr>
          <w:rFonts w:ascii="Footlight MT Light" w:eastAsia="Gentium Basic" w:hAnsi="Footlight MT Light" w:cs="Gentium Basic"/>
          <w:b/>
          <w:color w:val="000000"/>
          <w:sz w:val="24"/>
          <w:szCs w:val="24"/>
        </w:rPr>
      </w:pPr>
      <w:r w:rsidRPr="00045649">
        <w:rPr>
          <w:rFonts w:ascii="Footlight MT Light" w:eastAsia="Gentium Basic" w:hAnsi="Footlight MT Light" w:cs="Gentium Basic"/>
          <w:b/>
          <w:color w:val="000000"/>
          <w:sz w:val="24"/>
          <w:szCs w:val="24"/>
        </w:rPr>
        <w:t xml:space="preserve">PENDAHULUAN </w:t>
      </w:r>
    </w:p>
    <w:p w14:paraId="36EC1252" w14:textId="7F4BB4D2" w:rsidR="00F867D6" w:rsidRDefault="00F867D6" w:rsidP="00885B97">
      <w:pPr>
        <w:pStyle w:val="BodyText"/>
        <w:spacing w:after="0"/>
        <w:ind w:firstLine="567"/>
        <w:jc w:val="both"/>
        <w:rPr>
          <w:rFonts w:ascii="Footlight MT Light" w:eastAsia="Cambria" w:hAnsi="Footlight MT Light" w:cs="Cambria"/>
          <w:sz w:val="24"/>
          <w:szCs w:val="24"/>
          <w:lang w:val="en-US"/>
        </w:rPr>
      </w:pPr>
      <w:r w:rsidRPr="00045649">
        <w:rPr>
          <w:rFonts w:ascii="Footlight MT Light" w:eastAsia="Cambria" w:hAnsi="Footlight MT Light" w:cs="Cambria"/>
          <w:w w:val="105"/>
          <w:sz w:val="24"/>
          <w:szCs w:val="24"/>
          <w:lang w:val="en-US"/>
        </w:rPr>
        <w:t>Perkembangan teknologi informasi dan komunikasi telah mendorong munculnya judi dalam bentuk baru, yaitu judi online, yang semakin marak di kalangan masyarakat, termasuk di kalangan masyarakat muslim. Judi online, yang mudah diakses melalui perangkat digital, memberikan kemudahan anonim bagi pelakunya sehingga sulit untuk dikendalikan oleh aparat penegak hukum. Padahal, dalam perspektif hukum Islam, praktik perjudian atau maisir secara tegas diharamkan karena mengandung unsur merugikan, eksploitasi ekonomi, dan merusak moralitas umat. Fenomena ini menunjukkan adanya kesenjangan antara norma agama dan perilaku sebagian masyarakat Muslim yang tetap terlibat dalam judi online meskipun larangan tersebut jelas tertuang dalam Al-Qur’an (Al-Maidah: 90).</w:t>
      </w:r>
      <w:r w:rsidRPr="00045649">
        <w:rPr>
          <w:rFonts w:ascii="Footlight MT Light" w:eastAsia="Cambria" w:hAnsi="Footlight MT Light" w:cs="Cambria"/>
          <w:w w:val="105"/>
          <w:sz w:val="24"/>
          <w:szCs w:val="24"/>
          <w:lang w:val="en-US"/>
        </w:rPr>
        <w:fldChar w:fldCharType="begin" w:fldLock="1"/>
      </w:r>
      <w:r w:rsidRPr="00045649">
        <w:rPr>
          <w:rFonts w:ascii="Footlight MT Light" w:eastAsia="Cambria" w:hAnsi="Footlight MT Light" w:cs="Cambria"/>
          <w:w w:val="105"/>
          <w:sz w:val="24"/>
          <w:szCs w:val="24"/>
          <w:lang w:val="en-US"/>
        </w:rPr>
        <w:instrText>ADDIN CSL_CITATION {"citationItems":[{"id":"ITEM-1","itemData":{"ISSN":"2776-1053","abstract":"This article aims to discuss online gambling from a maqashid sharia perspective. This article research uses a qualitative approach with the type of library research. The data collection technique used is documentation, with data analysis techniques in the form of content analysis, induction and deduction. The conclusion from the discussion of this article is as follows. First, gambling (maisir) is any game in which a person hopes to win something of value by risking something of value, often money, without making any productive effort or making a real contribution. Gambling is strictly prohibited in Islam because it is considered morally and socially destructive and brings economic losses. Second, maqashid sharia refers to the aim or purpose of Islamic law which protects basic human interests, including religion, soul, mind, property and offspring. This concept helps in analyzing modern social and economic practices and phenomena to ensure they do not conflict with Islamic principles. Third, online gambling has a detrimental impact because it affects the five aspects protected by maqashid sharia, religion, soul, mind, property and heredity. Fourth, several strategies that can be used as a solution to overcome online gambling are the implementation of stricter laws, public education about the dangers of gambling, as well as the use of information technology to increase supervision, law enforcement, and international cooperation is recommended to deal with online gambling problems. Transnational.","author":[{"dropping-particle":"","family":"Anisa","given":"Nur Lina","non-dropping-particle":"","parse-names":false,"suffix":""}],"container-title":"Journal of islamic business management studies","id":"ITEM-1","issue":"1","issued":{"date-parts":[["2024"]]},"page":"1-21","title":"Judi online dalam perspektif maqasih syariah","type":"article-journal","volume":"5"},"uris":["http://www.mendeley.com/documents/?uuid=782073e7-34cf-4627-b7d4-ce9a048abcf1"]}],"mendeley":{"formattedCitation":"(N. L. Anisa, 2024)","plainTextFormattedCitation":"(N. L. Anisa, 2024)","previouslyFormattedCitation":"(N. L. Anisa, 2024)"},"properties":{"noteIndex":0},"schema":"https://github.com/citation-style-language/schema/raw/master/csl-citation.json"}</w:instrText>
      </w:r>
      <w:r w:rsidRPr="00045649">
        <w:rPr>
          <w:rFonts w:ascii="Footlight MT Light" w:eastAsia="Cambria" w:hAnsi="Footlight MT Light" w:cs="Cambria"/>
          <w:w w:val="105"/>
          <w:sz w:val="24"/>
          <w:szCs w:val="24"/>
          <w:lang w:val="en-US"/>
        </w:rPr>
        <w:fldChar w:fldCharType="separate"/>
      </w:r>
      <w:r w:rsidRPr="00045649">
        <w:rPr>
          <w:rFonts w:ascii="Footlight MT Light" w:eastAsia="Cambria" w:hAnsi="Footlight MT Light" w:cs="Cambria"/>
          <w:noProof/>
          <w:w w:val="105"/>
          <w:sz w:val="24"/>
          <w:szCs w:val="24"/>
          <w:lang w:val="en-US"/>
        </w:rPr>
        <w:t>(N. L. Anisa, 2024)</w:t>
      </w:r>
      <w:r w:rsidRPr="00045649">
        <w:rPr>
          <w:rFonts w:ascii="Footlight MT Light" w:eastAsia="Cambria" w:hAnsi="Footlight MT Light" w:cs="Cambria"/>
          <w:w w:val="105"/>
          <w:sz w:val="24"/>
          <w:szCs w:val="24"/>
          <w:lang w:val="en-US"/>
        </w:rPr>
        <w:fldChar w:fldCharType="end"/>
      </w:r>
      <w:r w:rsidR="00885B97">
        <w:rPr>
          <w:rFonts w:ascii="Footlight MT Light" w:eastAsia="Cambria" w:hAnsi="Footlight MT Light" w:cs="Cambria"/>
          <w:w w:val="105"/>
          <w:sz w:val="24"/>
          <w:szCs w:val="24"/>
          <w:lang w:val="en-US"/>
        </w:rPr>
        <w:t xml:space="preserve">. </w:t>
      </w:r>
      <w:r w:rsidRPr="00045649">
        <w:rPr>
          <w:rFonts w:ascii="Footlight MT Light" w:eastAsia="Cambria" w:hAnsi="Footlight MT Light" w:cs="Cambria"/>
          <w:sz w:val="24"/>
          <w:szCs w:val="24"/>
          <w:lang w:val="en-US"/>
        </w:rPr>
        <w:t>Terdapat pula pandangan yang menyoroti bahwa bentuk dan mekanisme judi online memiliki karakteristik khusus yang mungkin tidak sepenuhnya sejalan dengan konsep maisir tradisional yang dikenal pada masa pewahyuan Al-Qur'an. Hal ini menimbulkan diskusi mengenai apakah semua jenis permainan daring yang melibatkan unsur taruhan dapat dikategorikan sebagai judi yang diharamkan, ataukah diperlukan analisis lebih lanjut terkait niat, dampak, dan mekanismenya.</w:t>
      </w:r>
      <w:r w:rsidRPr="00045649">
        <w:rPr>
          <w:rFonts w:ascii="Footlight MT Light" w:eastAsia="Cambria" w:hAnsi="Footlight MT Light" w:cs="Cambria"/>
          <w:sz w:val="24"/>
          <w:szCs w:val="24"/>
          <w:lang w:val="en-US"/>
        </w:rPr>
        <w:fldChar w:fldCharType="begin" w:fldLock="1"/>
      </w:r>
      <w:r w:rsidRPr="00045649">
        <w:rPr>
          <w:rFonts w:ascii="Footlight MT Light" w:eastAsia="Cambria" w:hAnsi="Footlight MT Light" w:cs="Cambria"/>
          <w:sz w:val="24"/>
          <w:szCs w:val="24"/>
          <w:lang w:val="en-US"/>
        </w:rPr>
        <w:instrText>ADDIN CSL_CITATION {"citationItems":[{"id":"ITEM-1","itemData":{"ISSN":"2987-7113","author":[{"dropping-particle":"","family":"Fikriana","given":"Askana","non-dropping-particle":"","parse-names":false,"suffix":""},{"dropping-particle":"","family":"Irsyad","given":"Muhammad","non-dropping-particle":"","parse-names":false,"suffix":""}],"container-title":"Eksekusi: Jurnal Ilmu Hukum dan Administrasi Negara","id":"ITEM-1","issue":"1","issued":{"date-parts":[["2024"]]},"page":"210-219","title":"Pengaruh judi online terhadap kesejahteraan masyarakat Muslim perspektif fiqh siyasah","type":"article-journal","volume":"2"},"uris":["http://www.mendeley.com/documents/?uuid=2843fe89-96bc-4e95-a028-d61d4d6927fd"]}],"mendeley":{"formattedCitation":"(Fikriana &amp; Irsyad, 2024)","plainTextFormattedCitation":"(Fikriana &amp; Irsyad, 2024)","previouslyFormattedCitation":"(Fikriana &amp; Irsyad, 2024)"},"properties":{"noteIndex":0},"schema":"https://github.com/citation-style-language/schema/raw/master/csl-citation.json"}</w:instrText>
      </w:r>
      <w:r w:rsidRPr="00045649">
        <w:rPr>
          <w:rFonts w:ascii="Footlight MT Light" w:eastAsia="Cambria" w:hAnsi="Footlight MT Light" w:cs="Cambria"/>
          <w:sz w:val="24"/>
          <w:szCs w:val="24"/>
          <w:lang w:val="en-US"/>
        </w:rPr>
        <w:fldChar w:fldCharType="separate"/>
      </w:r>
      <w:r w:rsidRPr="00045649">
        <w:rPr>
          <w:rFonts w:ascii="Footlight MT Light" w:eastAsia="Cambria" w:hAnsi="Footlight MT Light" w:cs="Cambria"/>
          <w:noProof/>
          <w:sz w:val="24"/>
          <w:szCs w:val="24"/>
          <w:lang w:val="en-US"/>
        </w:rPr>
        <w:t>(Fikriana &amp; Irsyad, 2024)</w:t>
      </w:r>
      <w:r w:rsidRPr="00045649">
        <w:rPr>
          <w:rFonts w:ascii="Footlight MT Light" w:eastAsia="Cambria" w:hAnsi="Footlight MT Light" w:cs="Cambria"/>
          <w:sz w:val="24"/>
          <w:szCs w:val="24"/>
          <w:lang w:val="en-US"/>
        </w:rPr>
        <w:fldChar w:fldCharType="end"/>
      </w:r>
      <w:r w:rsidR="00885B97">
        <w:rPr>
          <w:rFonts w:ascii="Footlight MT Light" w:eastAsia="Cambria" w:hAnsi="Footlight MT Light" w:cs="Cambria"/>
          <w:sz w:val="24"/>
          <w:szCs w:val="24"/>
          <w:lang w:val="en-US"/>
        </w:rPr>
        <w:t>.</w:t>
      </w:r>
    </w:p>
    <w:p w14:paraId="01DB30AB" w14:textId="39A9863C" w:rsidR="00F867D6" w:rsidRDefault="00F867D6" w:rsidP="00885B97">
      <w:pPr>
        <w:widowControl w:val="0"/>
        <w:autoSpaceDE w:val="0"/>
        <w:autoSpaceDN w:val="0"/>
        <w:ind w:firstLine="567"/>
        <w:jc w:val="both"/>
        <w:rPr>
          <w:rFonts w:ascii="Footlight MT Light" w:eastAsia="Cambria" w:hAnsi="Footlight MT Light" w:cs="Cambria"/>
          <w:sz w:val="24"/>
          <w:szCs w:val="24"/>
          <w:lang w:val="en-US"/>
        </w:rPr>
      </w:pPr>
      <w:r w:rsidRPr="00045649">
        <w:rPr>
          <w:rFonts w:ascii="Footlight MT Light" w:eastAsia="Cambria" w:hAnsi="Footlight MT Light" w:cs="Cambria"/>
          <w:sz w:val="24"/>
          <w:szCs w:val="24"/>
          <w:lang w:val="en-US"/>
        </w:rPr>
        <w:t>Pendekatan tafsir maqashidi, yang berfokus pada tujuan dan hikmah di balik hukum syariah, digunakan oleh beberapa peneliti untuk memahami larangan judi dalam konteks modern. Mereka menekankan bahwa tujuan utama dari larangan tersebut adalah menjaga agama, akal, harta, dan moralitas individu serta masyarakat. Dengan demikian, segala bentuk aktivitas yang merusak tujuan-tujuan ini, termasuk judi online yang dapat menyebabkan kecanduan dan kerugian finansial, seharusnya dihindari.</w:t>
      </w:r>
      <w:r w:rsidR="00885B97">
        <w:rPr>
          <w:rFonts w:ascii="Footlight MT Light" w:eastAsia="Cambria" w:hAnsi="Footlight MT Light" w:cs="Cambria"/>
          <w:sz w:val="24"/>
          <w:szCs w:val="24"/>
          <w:lang w:val="en-US"/>
        </w:rPr>
        <w:t xml:space="preserve"> </w:t>
      </w:r>
      <w:r w:rsidRPr="00045649">
        <w:rPr>
          <w:rFonts w:ascii="Footlight MT Light" w:eastAsia="Cambria" w:hAnsi="Footlight MT Light" w:cs="Cambria"/>
          <w:sz w:val="24"/>
          <w:szCs w:val="24"/>
          <w:lang w:val="en-US"/>
        </w:rPr>
        <w:t>Ada pula diskusi mengenai peran teknologi dalam memfasilitasi judi online dan bagaimana hukum Islam memandang penggunaan teknologi untuk tujuan yang dilarang. Beberapa ulama berpendapat bahwa meskipun teknologi pada dasarnya netral, penggunaannya untuk aktivitas yang diharamkan, seperti judi, menjadikannya sarana yang tercela. Namun, ada juga yang menekankan perlunya pendekatan edukatif dan preventif dalam menghadapi fenomena ini, daripada sekadar penekanan pada aspek hukumnya.</w:t>
      </w:r>
      <w:r w:rsidRPr="00045649">
        <w:rPr>
          <w:rFonts w:ascii="Footlight MT Light" w:eastAsia="Cambria" w:hAnsi="Footlight MT Light" w:cs="Cambria"/>
          <w:sz w:val="24"/>
          <w:szCs w:val="24"/>
          <w:lang w:val="en-US"/>
        </w:rPr>
        <w:fldChar w:fldCharType="begin" w:fldLock="1"/>
      </w:r>
      <w:r w:rsidRPr="00045649">
        <w:rPr>
          <w:rFonts w:ascii="Footlight MT Light" w:eastAsia="Cambria" w:hAnsi="Footlight MT Light" w:cs="Cambria"/>
          <w:sz w:val="24"/>
          <w:szCs w:val="24"/>
          <w:lang w:val="en-US"/>
        </w:rPr>
        <w:instrText>ADDIN CSL_CITATION {"citationItems":[{"id":"ITEM-1","itemData":{"author":[{"dropping-particle":"","family":"Fauzi","given":"Izra","non-dropping-particle":"","parse-names":false,"suffix":""},{"dropping-particle":"","family":"Salatiga","given":"Universitas Islam","non-dropping-particle":"","parse-names":false,"suffix":""},{"dropping-particle":"","family":"Sultan","given":"Universitas","non-dropping-particle":"","parse-names":false,"suffix":""},{"dropping-particle":"","family":"Tirtayasa","given":"Ageng","non-dropping-particle":"","parse-names":false,"suffix":""}],"id":"ITEM-1","issue":"5","issued":{"date-parts":[["2024"]]},"page":"250-263","title":"Judi Online sebagai Problematika yang Menggerogoti Dimensi Kehidupan Bersarang Dibalik Kemajuan Teknologi Digital","type":"article-journal","volume":"1"},"uris":["http://www.mendeley.com/documents/?uuid=25053d6b-fab0-4531-8ef6-c80e1189441f"]}],"mendeley":{"formattedCitation":"(Fauzi et al., 2024)","plainTextFormattedCitation":"(Fauzi et al., 2024)","previouslyFormattedCitation":"(Fauzi et al., 2024)"},"properties":{"noteIndex":0},"schema":"https://github.com/citation-style-language/schema/raw/master/csl-citation.json"}</w:instrText>
      </w:r>
      <w:r w:rsidRPr="00045649">
        <w:rPr>
          <w:rFonts w:ascii="Footlight MT Light" w:eastAsia="Cambria" w:hAnsi="Footlight MT Light" w:cs="Cambria"/>
          <w:sz w:val="24"/>
          <w:szCs w:val="24"/>
          <w:lang w:val="en-US"/>
        </w:rPr>
        <w:fldChar w:fldCharType="separate"/>
      </w:r>
      <w:r w:rsidRPr="00045649">
        <w:rPr>
          <w:rFonts w:ascii="Footlight MT Light" w:eastAsia="Cambria" w:hAnsi="Footlight MT Light" w:cs="Cambria"/>
          <w:noProof/>
          <w:sz w:val="24"/>
          <w:szCs w:val="24"/>
          <w:lang w:val="en-US"/>
        </w:rPr>
        <w:t>(Fauzi et al., 2024)</w:t>
      </w:r>
      <w:r w:rsidRPr="00045649">
        <w:rPr>
          <w:rFonts w:ascii="Footlight MT Light" w:eastAsia="Cambria" w:hAnsi="Footlight MT Light" w:cs="Cambria"/>
          <w:sz w:val="24"/>
          <w:szCs w:val="24"/>
          <w:lang w:val="en-US"/>
        </w:rPr>
        <w:fldChar w:fldCharType="end"/>
      </w:r>
      <w:r w:rsidR="00885B97">
        <w:rPr>
          <w:rFonts w:ascii="Footlight MT Light" w:eastAsia="Cambria" w:hAnsi="Footlight MT Light" w:cs="Cambria"/>
          <w:sz w:val="24"/>
          <w:szCs w:val="24"/>
          <w:lang w:val="en-US"/>
        </w:rPr>
        <w:t>.</w:t>
      </w:r>
    </w:p>
    <w:p w14:paraId="54F3A56C" w14:textId="77777777" w:rsidR="00885B97" w:rsidRDefault="00F867D6" w:rsidP="00885B97">
      <w:pPr>
        <w:widowControl w:val="0"/>
        <w:autoSpaceDE w:val="0"/>
        <w:autoSpaceDN w:val="0"/>
        <w:ind w:firstLine="567"/>
        <w:jc w:val="both"/>
        <w:rPr>
          <w:rFonts w:ascii="Footlight MT Light" w:eastAsia="Cambria" w:hAnsi="Footlight MT Light" w:cs="Cambria"/>
          <w:sz w:val="24"/>
          <w:szCs w:val="24"/>
          <w:lang w:val="en-US"/>
        </w:rPr>
      </w:pPr>
      <w:r w:rsidRPr="00045649">
        <w:rPr>
          <w:rFonts w:ascii="Footlight MT Light" w:eastAsia="Cambria" w:hAnsi="Footlight MT Light" w:cs="Cambria"/>
          <w:sz w:val="24"/>
          <w:szCs w:val="24"/>
          <w:lang w:val="en-US"/>
        </w:rPr>
        <w:t>Perbedaan interpretasi ini menunjukkan kompleksitas dalam memahami dan menerapkan hukum Islam terhadap fenomena judi online. Diperlukan kajian mendalam yang mempertimbangkan konteks kontemporer, tujuan syariah, dan dampak sosial dari judi online untuk menghasilkan pemahaman yang komprehensif dan relevan bagi masyarakat modern.</w:t>
      </w:r>
      <w:r w:rsidR="00885B97">
        <w:rPr>
          <w:rFonts w:ascii="Footlight MT Light" w:eastAsia="Cambria" w:hAnsi="Footlight MT Light" w:cs="Cambria"/>
          <w:sz w:val="24"/>
          <w:szCs w:val="24"/>
          <w:lang w:val="en-US"/>
        </w:rPr>
        <w:t xml:space="preserve"> </w:t>
      </w:r>
      <w:r w:rsidRPr="00045649">
        <w:rPr>
          <w:rFonts w:ascii="Footlight MT Light" w:eastAsia="Cambria" w:hAnsi="Footlight MT Light" w:cs="Cambria"/>
          <w:sz w:val="24"/>
          <w:szCs w:val="24"/>
          <w:lang w:val="en-US"/>
        </w:rPr>
        <w:t>Di sisi lain, pendekatan represif dalam bentuk penegakan hukum konvensional sering kali belum efektif karena kurang menyentuh akar permasalahan yang mendorong individu terlibat dalam judi online. Faktor ekonomi, rendahnya pemahaman keagamaan, dan pengaruh lingkungan turut menjadi pemicu utama.  Hal ini dapat kita lihat dalam tiga tahun terakhir, fenomena judi online di Indonesia menunjukkan peningkatan yang signifikan dengan perputaran uang pada tahun 2021 mencapai Rp 57 triliun, tahun 2022 meningkat menjadi Rp 81 triliun dengan kenaikan sebesar 42,11%. Sedangkan pada tahun 2023 mengalami lonjakan yang sangat tajam terjadi, dengan perputaran uang mencapai Rp 327 triliun, meningkat sebesar 303,70% dibandingkan tahun sebelumnya. Dan pada tahun 2024, dalam triwulan pertama, perputaran uang sudah menyentuh Rp 600 triliun.</w:t>
      </w:r>
      <w:r w:rsidRPr="00045649">
        <w:rPr>
          <w:rFonts w:ascii="Footlight MT Light" w:eastAsia="Cambria" w:hAnsi="Footlight MT Light" w:cs="Cambria"/>
          <w:sz w:val="24"/>
          <w:szCs w:val="24"/>
          <w:lang w:val="en-US"/>
        </w:rPr>
        <w:fldChar w:fldCharType="begin" w:fldLock="1"/>
      </w:r>
      <w:r w:rsidRPr="00045649">
        <w:rPr>
          <w:rFonts w:ascii="Footlight MT Light" w:eastAsia="Cambria" w:hAnsi="Footlight MT Light" w:cs="Cambria"/>
          <w:sz w:val="24"/>
          <w:szCs w:val="24"/>
          <w:lang w:val="en-US"/>
        </w:rPr>
        <w:instrText>ADDIN CSL_CITATION {"citationItems":[{"id":"ITEM-1","itemData":{"author":[{"dropping-particle":"","family":"Hendrik Khoirul Muhid","given":"","non-dropping-particle":"","parse-names":false,"suffix":""}],"container-title":"tempo.com","id":"ITEM-1","issued":{"date-parts":[["2024"]]},"title":"Fakta-fakta Maraknya Judi Online di Indonesia, Situs Judi Online Disinyalir Milik Orang Indonesia Punya 1,5 Juta Pelanggan","type":"webpage"},"uris":["http://www.mendeley.com/documents/?uuid=fc45b9ed-91c0-492c-87e1-6798a1edf453"]}],"mendeley":{"formattedCitation":"(Hendrik Khoirul Muhid, 2024)","plainTextFormattedCitation":"(Hendrik Khoirul Muhid, 2024)","previouslyFormattedCitation":"(Hendrik Khoirul Muhid, 2024)"},"properties":{"noteIndex":0},"schema":"https://github.com/citation-style-language/schema/raw/master/csl-citation.json"}</w:instrText>
      </w:r>
      <w:r w:rsidRPr="00045649">
        <w:rPr>
          <w:rFonts w:ascii="Footlight MT Light" w:eastAsia="Cambria" w:hAnsi="Footlight MT Light" w:cs="Cambria"/>
          <w:sz w:val="24"/>
          <w:szCs w:val="24"/>
          <w:lang w:val="en-US"/>
        </w:rPr>
        <w:fldChar w:fldCharType="separate"/>
      </w:r>
      <w:r w:rsidRPr="00045649">
        <w:rPr>
          <w:rFonts w:ascii="Footlight MT Light" w:eastAsia="Cambria" w:hAnsi="Footlight MT Light" w:cs="Cambria"/>
          <w:noProof/>
          <w:sz w:val="24"/>
          <w:szCs w:val="24"/>
          <w:lang w:val="en-US"/>
        </w:rPr>
        <w:t>(Hendrik Khoirul Muhid, 2024)</w:t>
      </w:r>
      <w:r w:rsidRPr="00045649">
        <w:rPr>
          <w:rFonts w:ascii="Footlight MT Light" w:eastAsia="Cambria" w:hAnsi="Footlight MT Light" w:cs="Cambria"/>
          <w:sz w:val="24"/>
          <w:szCs w:val="24"/>
          <w:lang w:val="en-US"/>
        </w:rPr>
        <w:fldChar w:fldCharType="end"/>
      </w:r>
      <w:r w:rsidRPr="00045649">
        <w:rPr>
          <w:rFonts w:ascii="Footlight MT Light" w:eastAsia="Cambria" w:hAnsi="Footlight MT Light" w:cs="Cambria"/>
          <w:sz w:val="24"/>
          <w:szCs w:val="24"/>
          <w:lang w:val="en-US"/>
        </w:rPr>
        <w:t xml:space="preserve"> Adapun jumlah transaksi yang terjadi tahun 2022 tercatat sebanyak 11.222 transaksi, tahun 2023 meningkat lebih dari dua kali lipat menjadi 24.850 transaksi. Sedangkan pada tahun 2024 dari Januari hingga Mei, jumlah transaksi mencapai 14.575, lebih dari separuh jumlah transaksi tahun sebelumnya.</w:t>
      </w:r>
    </w:p>
    <w:p w14:paraId="5CD61C88" w14:textId="77777777" w:rsidR="00885B97" w:rsidRDefault="00F867D6" w:rsidP="00885B97">
      <w:pPr>
        <w:widowControl w:val="0"/>
        <w:autoSpaceDE w:val="0"/>
        <w:autoSpaceDN w:val="0"/>
        <w:ind w:firstLine="567"/>
        <w:jc w:val="both"/>
        <w:rPr>
          <w:rFonts w:ascii="Footlight MT Light" w:eastAsia="Cambria" w:hAnsi="Footlight MT Light" w:cs="Cambria"/>
          <w:sz w:val="24"/>
          <w:szCs w:val="24"/>
          <w:lang w:val="en-US"/>
        </w:rPr>
      </w:pPr>
      <w:r w:rsidRPr="00045649">
        <w:rPr>
          <w:rFonts w:ascii="Footlight MT Light" w:eastAsia="Cambria" w:hAnsi="Footlight MT Light" w:cs="Cambria"/>
          <w:sz w:val="24"/>
          <w:szCs w:val="24"/>
          <w:lang w:val="en-US"/>
        </w:rPr>
        <w:t xml:space="preserve">Sulawesi Selatan menjadi salah satu wilayah di Indonesia yang mengalami tren pertumbuhan judi online yang signifikan, baik dari segi jumlah kasus, pelaku, maupun aktivitas yang terkait. contohnya pada tahun 2024, Polda Sulsel telah menangani 7 kasus judi online dengan total 14 tersangka yang ditangkap. Dari jumlah tersebut, terdapat 4 kasus terkait endorse judi online dan 3 </w:t>
      </w:r>
      <w:r w:rsidRPr="00045649">
        <w:rPr>
          <w:rFonts w:ascii="Footlight MT Light" w:eastAsia="Cambria" w:hAnsi="Footlight MT Light" w:cs="Cambria"/>
          <w:sz w:val="24"/>
          <w:szCs w:val="24"/>
          <w:lang w:val="en-US"/>
        </w:rPr>
        <w:lastRenderedPageBreak/>
        <w:t>kasus Higgs Domino dengan total 7 tersangka.</w:t>
      </w:r>
      <w:r w:rsidRPr="00045649">
        <w:rPr>
          <w:rFonts w:ascii="Footlight MT Light" w:eastAsia="Cambria" w:hAnsi="Footlight MT Light" w:cs="Cambria"/>
          <w:sz w:val="24"/>
          <w:szCs w:val="24"/>
          <w:lang w:val="en-US"/>
        </w:rPr>
        <w:fldChar w:fldCharType="begin" w:fldLock="1"/>
      </w:r>
      <w:r w:rsidRPr="00045649">
        <w:rPr>
          <w:rFonts w:ascii="Footlight MT Light" w:eastAsia="Cambria" w:hAnsi="Footlight MT Light" w:cs="Cambria"/>
          <w:sz w:val="24"/>
          <w:szCs w:val="24"/>
          <w:lang w:val="en-US"/>
        </w:rPr>
        <w:instrText>ADDIN CSL_CITATION {"citationItems":[{"id":"ITEM-1","itemData":{"author":[{"dropping-particle":"","family":"Nurfaisah","given":"Andi Sitti","non-dropping-particle":"","parse-names":false,"suffix":""}],"container-title":"detik sulsel","id":"ITEM-1","issued":{"date-parts":[["2024"]]},"title":"Polda Sulsel Ajukan Pemblokiran 2.000 Situs Judi Online ke Komdigi","type":"webpage"},"uris":["http://www.mendeley.com/documents/?uuid=58ebc8fb-5009-4ae0-aa21-ac37d9b24cdf"]}],"mendeley":{"formattedCitation":"(Nurfaisah, 2024)","plainTextFormattedCitation":"(Nurfaisah, 2024)","previouslyFormattedCitation":"(Nurfaisah, 2024)"},"properties":{"noteIndex":0},"schema":"https://github.com/citation-style-language/schema/raw/master/csl-citation.json"}</w:instrText>
      </w:r>
      <w:r w:rsidRPr="00045649">
        <w:rPr>
          <w:rFonts w:ascii="Footlight MT Light" w:eastAsia="Cambria" w:hAnsi="Footlight MT Light" w:cs="Cambria"/>
          <w:sz w:val="24"/>
          <w:szCs w:val="24"/>
          <w:lang w:val="en-US"/>
        </w:rPr>
        <w:fldChar w:fldCharType="separate"/>
      </w:r>
      <w:r w:rsidRPr="00045649">
        <w:rPr>
          <w:rFonts w:ascii="Footlight MT Light" w:eastAsia="Cambria" w:hAnsi="Footlight MT Light" w:cs="Cambria"/>
          <w:noProof/>
          <w:sz w:val="24"/>
          <w:szCs w:val="24"/>
          <w:lang w:val="en-US"/>
        </w:rPr>
        <w:t>(Nurfaisah, 2024)</w:t>
      </w:r>
      <w:r w:rsidRPr="00045649">
        <w:rPr>
          <w:rFonts w:ascii="Footlight MT Light" w:eastAsia="Cambria" w:hAnsi="Footlight MT Light" w:cs="Cambria"/>
          <w:sz w:val="24"/>
          <w:szCs w:val="24"/>
          <w:lang w:val="en-US"/>
        </w:rPr>
        <w:fldChar w:fldCharType="end"/>
      </w:r>
      <w:r w:rsidRPr="00045649">
        <w:rPr>
          <w:rFonts w:ascii="Footlight MT Light" w:eastAsia="Cambria" w:hAnsi="Footlight MT Light" w:cs="Cambria"/>
          <w:sz w:val="24"/>
          <w:szCs w:val="24"/>
          <w:lang w:val="en-US"/>
        </w:rPr>
        <w:t xml:space="preserve"> Pada bulan November 2024, Polda Sulsel kembali menangkap dua selebgram dan empat pengelola situs judi online yang beromzet puluhan juta per bulan di Makassar bahkan Polda Sulsel telah mengajukan pemblokiran sebanyak 2.000 situs judi online ke Kementerian Komunikasi dan Digital (Komdigi).</w:t>
      </w:r>
      <w:r w:rsidR="00885B97">
        <w:rPr>
          <w:rFonts w:ascii="Footlight MT Light" w:eastAsia="Cambria" w:hAnsi="Footlight MT Light" w:cs="Cambria"/>
          <w:sz w:val="24"/>
          <w:szCs w:val="24"/>
          <w:lang w:val="en-US"/>
        </w:rPr>
        <w:t xml:space="preserve"> </w:t>
      </w:r>
      <w:r w:rsidRPr="00045649">
        <w:rPr>
          <w:rFonts w:ascii="Footlight MT Light" w:eastAsia="Cambria" w:hAnsi="Footlight MT Light" w:cs="Cambria"/>
          <w:sz w:val="24"/>
          <w:szCs w:val="24"/>
          <w:lang w:val="en-US"/>
        </w:rPr>
        <w:t>Fenomena judi online yang terjadi di Sulawesi Selatan semakin memprihatinkan dan menimbulkan dampak sosial yang signifikan, terutama di kalangan masyarakat muslim. Salah satu contoh kasus yang viral terjadi di Kabupaten Pangkep, di mana seorang laki-laki nekat membunuh dan merampok pengusaha besi. Pelaku melakukan pembunuhan dan perampokan karena utang chip judi online sebanyak Rp 9 juta. Pelaku menikam korban hingga tewas lalu merampas uang yang dibawa korban sebanyak Rp 22 juta.</w:t>
      </w:r>
      <w:r w:rsidRPr="00045649">
        <w:rPr>
          <w:rFonts w:ascii="Footlight MT Light" w:eastAsia="Cambria" w:hAnsi="Footlight MT Light" w:cs="Cambria"/>
          <w:sz w:val="24"/>
          <w:szCs w:val="24"/>
          <w:lang w:val="en-US"/>
        </w:rPr>
        <w:fldChar w:fldCharType="begin" w:fldLock="1"/>
      </w:r>
      <w:r w:rsidRPr="00045649">
        <w:rPr>
          <w:rFonts w:ascii="Footlight MT Light" w:eastAsia="Cambria" w:hAnsi="Footlight MT Light" w:cs="Cambria"/>
          <w:sz w:val="24"/>
          <w:szCs w:val="24"/>
          <w:lang w:val="en-US"/>
        </w:rPr>
        <w:instrText>ADDIN CSL_CITATION {"citationItems":[{"id":"ITEM-1","itemData":{"author":[{"dropping-particle":"","family":"Siswanto","given":"Heri","non-dropping-particle":"","parse-names":false,"suffix":""}],"container-title":"Nasional.id","id":"ITEM-1","issued":{"date-parts":[["2023"]]},"title":"Demi Bayar Utang Chip Judi Online Pria di Pangkep Nekat Bunuh dan Rampok Pengusaha","type":"webpage"},"uris":["http://www.mendeley.com/documents/?uuid=e267447b-6325-4724-bdff-fc975cfb51dc"]}],"mendeley":{"formattedCitation":"(Siswanto, 2023)","plainTextFormattedCitation":"(Siswanto, 2023)","previouslyFormattedCitation":"(Siswanto, 2023)"},"properties":{"noteIndex":0},"schema":"https://github.com/citation-style-language/schema/raw/master/csl-citation.json"}</w:instrText>
      </w:r>
      <w:r w:rsidRPr="00045649">
        <w:rPr>
          <w:rFonts w:ascii="Footlight MT Light" w:eastAsia="Cambria" w:hAnsi="Footlight MT Light" w:cs="Cambria"/>
          <w:sz w:val="24"/>
          <w:szCs w:val="24"/>
          <w:lang w:val="en-US"/>
        </w:rPr>
        <w:fldChar w:fldCharType="separate"/>
      </w:r>
      <w:r w:rsidRPr="00045649">
        <w:rPr>
          <w:rFonts w:ascii="Footlight MT Light" w:eastAsia="Cambria" w:hAnsi="Footlight MT Light" w:cs="Cambria"/>
          <w:noProof/>
          <w:sz w:val="24"/>
          <w:szCs w:val="24"/>
          <w:lang w:val="en-US"/>
        </w:rPr>
        <w:t>(Siswanto, 2023)</w:t>
      </w:r>
      <w:r w:rsidRPr="00045649">
        <w:rPr>
          <w:rFonts w:ascii="Footlight MT Light" w:eastAsia="Cambria" w:hAnsi="Footlight MT Light" w:cs="Cambria"/>
          <w:sz w:val="24"/>
          <w:szCs w:val="24"/>
          <w:lang w:val="en-US"/>
        </w:rPr>
        <w:fldChar w:fldCharType="end"/>
      </w:r>
      <w:r w:rsidR="00885B97">
        <w:rPr>
          <w:rFonts w:ascii="Footlight MT Light" w:eastAsia="Cambria" w:hAnsi="Footlight MT Light" w:cs="Cambria"/>
          <w:sz w:val="24"/>
          <w:szCs w:val="24"/>
          <w:lang w:val="en-US"/>
        </w:rPr>
        <w:t>.</w:t>
      </w:r>
    </w:p>
    <w:p w14:paraId="56E86529" w14:textId="5EC2DC54" w:rsidR="00F867D6" w:rsidRDefault="00F867D6" w:rsidP="00885B97">
      <w:pPr>
        <w:widowControl w:val="0"/>
        <w:autoSpaceDE w:val="0"/>
        <w:autoSpaceDN w:val="0"/>
        <w:ind w:firstLine="567"/>
        <w:jc w:val="both"/>
        <w:rPr>
          <w:rFonts w:ascii="Footlight MT Light" w:eastAsia="Cambria" w:hAnsi="Footlight MT Light" w:cs="Cambria"/>
          <w:sz w:val="24"/>
          <w:szCs w:val="24"/>
          <w:lang w:val="en-US"/>
        </w:rPr>
      </w:pPr>
      <w:r w:rsidRPr="00045649">
        <w:rPr>
          <w:rFonts w:ascii="Footlight MT Light" w:eastAsia="Cambria" w:hAnsi="Footlight MT Light" w:cs="Cambria"/>
          <w:sz w:val="24"/>
          <w:szCs w:val="24"/>
          <w:lang w:val="en-US"/>
        </w:rPr>
        <w:t>Berdasarkan fenomena kasus tersebut, beberapa faktor pendorongnya adalah kesulitan keuangan, keinginan kaya secara instan, desakan ekonomi, pengaruh teknologi digital, pengaruh teman dan lingkungan serta minimnya pemahaman agama dan etika. Selain itu, kemudahan akses melalui perangkat digital semakin memicu peningkatan angka pelaku judi online, termasuk di kalangan anak-anak dan remaja. Hal ini menandakan adanya kebutuhan mendesak untuk penanganan yang bersifat preventif dan komprehensif berbasis pendekatan hukum Islam dan edukasi moral masyarakat. Di zaman jahiliyah, sebelum kedatangan Islam, perjudian sudah menjadi bagian dari kehidupan masyarakat Arab. Judi tidak hanya dipandang sebagai bentuk hiburan, tetapi juga sebagai cara untuk mencari nafkah. Praktik ini melibatkan berbagai bentuk taruhan, termasuk permainan dadu dan undian dengan menggunakan anak panah. Salah satu bentuk judi yang umum adalah maisir, yaitu pertaruhan yang dilakukan dengan menukar daging atau barang berharga lainnya. Judi membawa banyak mudharat seperti pemborosan, konflik antar individu, dan pengabaian terhadap tanggung jawab sosial.</w:t>
      </w:r>
      <w:r w:rsidRPr="00045649">
        <w:rPr>
          <w:rFonts w:ascii="Footlight MT Light" w:eastAsia="Cambria" w:hAnsi="Footlight MT Light" w:cs="Cambria"/>
          <w:sz w:val="24"/>
          <w:szCs w:val="24"/>
          <w:lang w:val="en-US"/>
        </w:rPr>
        <w:fldChar w:fldCharType="begin" w:fldLock="1"/>
      </w:r>
      <w:r w:rsidRPr="00045649">
        <w:rPr>
          <w:rFonts w:ascii="Footlight MT Light" w:eastAsia="Cambria" w:hAnsi="Footlight MT Light" w:cs="Cambria"/>
          <w:sz w:val="24"/>
          <w:szCs w:val="24"/>
          <w:lang w:val="en-US"/>
        </w:rPr>
        <w:instrText>ADDIN CSL_CITATION {"citationItems":[{"id":"ITEM-1","itemData":{"author":[{"dropping-particle":"","family":"Tejomukti","given":"Ratna Ajeng","non-dropping-particle":"","parse-names":false,"suffix":""}],"container-title":"REPUBLIK","id":"ITEM-1","issued":{"date-parts":[["2023"]]},"title":"Marak Judi Slot, Ini 5 Praktik Judi yang Ada Sejak Masa Jahiliyah","type":"webpage"},"uris":["http://www.mendeley.com/documents/?uuid=90536b09-ad40-452c-860d-598b5654352c"]}],"mendeley":{"formattedCitation":"(Tejomukti, 2023)","plainTextFormattedCitation":"(Tejomukti, 2023)","previouslyFormattedCitation":"(Tejomukti, 2023)"},"properties":{"noteIndex":0},"schema":"https://github.com/citation-style-language/schema/raw/master/csl-citation.json"}</w:instrText>
      </w:r>
      <w:r w:rsidRPr="00045649">
        <w:rPr>
          <w:rFonts w:ascii="Footlight MT Light" w:eastAsia="Cambria" w:hAnsi="Footlight MT Light" w:cs="Cambria"/>
          <w:sz w:val="24"/>
          <w:szCs w:val="24"/>
          <w:lang w:val="en-US"/>
        </w:rPr>
        <w:fldChar w:fldCharType="separate"/>
      </w:r>
      <w:r w:rsidRPr="00045649">
        <w:rPr>
          <w:rFonts w:ascii="Footlight MT Light" w:eastAsia="Cambria" w:hAnsi="Footlight MT Light" w:cs="Cambria"/>
          <w:noProof/>
          <w:sz w:val="24"/>
          <w:szCs w:val="24"/>
          <w:lang w:val="en-US"/>
        </w:rPr>
        <w:t>(Tejomukti, 2023)</w:t>
      </w:r>
      <w:r w:rsidRPr="00045649">
        <w:rPr>
          <w:rFonts w:ascii="Footlight MT Light" w:eastAsia="Cambria" w:hAnsi="Footlight MT Light" w:cs="Cambria"/>
          <w:sz w:val="24"/>
          <w:szCs w:val="24"/>
          <w:lang w:val="en-US"/>
        </w:rPr>
        <w:fldChar w:fldCharType="end"/>
      </w:r>
      <w:r w:rsidR="00885B97">
        <w:rPr>
          <w:rFonts w:ascii="Footlight MT Light" w:eastAsia="Cambria" w:hAnsi="Footlight MT Light" w:cs="Cambria"/>
          <w:sz w:val="24"/>
          <w:szCs w:val="24"/>
          <w:lang w:val="en-US"/>
        </w:rPr>
        <w:t>.</w:t>
      </w:r>
    </w:p>
    <w:p w14:paraId="0B29A039" w14:textId="77777777" w:rsidR="00885B97" w:rsidRDefault="00F867D6" w:rsidP="00885B97">
      <w:pPr>
        <w:widowControl w:val="0"/>
        <w:autoSpaceDE w:val="0"/>
        <w:autoSpaceDN w:val="0"/>
        <w:ind w:firstLine="567"/>
        <w:jc w:val="both"/>
        <w:rPr>
          <w:rFonts w:ascii="Footlight MT Light" w:eastAsia="Cambria" w:hAnsi="Footlight MT Light" w:cs="Cambria"/>
          <w:sz w:val="24"/>
          <w:szCs w:val="24"/>
          <w:lang w:val="en-US"/>
        </w:rPr>
      </w:pPr>
      <w:r w:rsidRPr="00045649">
        <w:rPr>
          <w:rFonts w:ascii="Footlight MT Light" w:eastAsia="Cambria" w:hAnsi="Footlight MT Light" w:cs="Cambria"/>
          <w:sz w:val="24"/>
          <w:szCs w:val="24"/>
          <w:lang w:val="en-US"/>
        </w:rPr>
        <w:t>Oleh karena itu, dibutuhkan pendekatan yang lebih integratif antara hukum Islam, pendidikan moral, dan solusi preventif-komprehensif untuk meminimalisir dampak judi online. Pendekatan ini diharapkan tidak hanya menindak pelaku secara hukum, tetapi juga mengedukasi dan merehabilitasi mereka agar tidak kembali terjerumus dalam praktik yang dilarang agama dan merusak kesejahteraan sosial.</w:t>
      </w:r>
      <w:r w:rsidRPr="00045649">
        <w:rPr>
          <w:rFonts w:ascii="Footlight MT Light" w:eastAsia="Cambria" w:hAnsi="Footlight MT Light" w:cs="Cambria"/>
          <w:sz w:val="24"/>
          <w:szCs w:val="24"/>
          <w:lang w:val="en-US"/>
        </w:rPr>
        <w:fldChar w:fldCharType="begin" w:fldLock="1"/>
      </w:r>
      <w:r w:rsidRPr="00045649">
        <w:rPr>
          <w:rFonts w:ascii="Footlight MT Light" w:eastAsia="Cambria" w:hAnsi="Footlight MT Light" w:cs="Cambria"/>
          <w:sz w:val="24"/>
          <w:szCs w:val="24"/>
          <w:lang w:val="en-US"/>
        </w:rPr>
        <w:instrText>ADDIN CSL_CITATION {"citationItems":[{"id":"ITEM-1","itemData":{"abstract":"Tujuan penelitian ini untuk menganalisis efektivitas pemberantasan tindak pidana judi online di wilayah hukum Polda Jawa Tengah. Penelitian ini penting karena semakin maraknya judi online atau yang lebih dikenal perjudian togel gelap (togel) yang saat ini marak menjadi salah satu permasalahan yang cukup signifikan disoroti di semua lapisan masyarakat Indonesia. Metode penlitian menggunakan yuridis sosiologis. Kebaruan penelitian ini adalah mengkaji efektifitas pemberantasan judi online di wilayah hukum Polda Jawa Tengah. Hasil penelitian ini menjelaskan bahwa faktor yang mempengaruhi masyarakat terjerat judi online antara lain terbagi menjadi dua faktor, yaitu faktor internal dan faktor eksternal. Penerapan Pasal 303 ayat (1) KUHP untuk judi konvensional maupun Pasal 45 jo. Pasal 27 ayat (2) Undang-undang Nomor 11 Tahun 2008 tentang ITE. Upaya pencegahan judi online dapat dilakukan berbagai cara antara lain dengan metode pre-emptive, metode preventif dan metode represif. Metode pencegahan perjudian online merupakan sarana yang efektif dalam pemberantasan tindak pidana judi online .","author":[{"dropping-particle":"","family":"Rian. dkk","given":"2023","non-dropping-particle":"","parse-names":false,"suffix":""}],"container-title":"Jurnal Juridisch","id":"ITEM-1","issue":"1","issued":{"date-parts":[["2023"]]},"page":"1-10","title":"Efektivitas Pemberantasan Tindak Pidana Judi Online","type":"article-journal","volume":"4"},"uris":["http://www.mendeley.com/documents/?uuid=2c1769f0-ffbc-4475-b3a7-6f8208fbf32f"]}],"mendeley":{"formattedCitation":"(Rian. dkk, 2023)","plainTextFormattedCitation":"(Rian. dkk, 2023)","previouslyFormattedCitation":"(Rian. dkk, 2023)"},"properties":{"noteIndex":0},"schema":"https://github.com/citation-style-language/schema/raw/master/csl-citation.json"}</w:instrText>
      </w:r>
      <w:r w:rsidRPr="00045649">
        <w:rPr>
          <w:rFonts w:ascii="Footlight MT Light" w:eastAsia="Cambria" w:hAnsi="Footlight MT Light" w:cs="Cambria"/>
          <w:sz w:val="24"/>
          <w:szCs w:val="24"/>
          <w:lang w:val="en-US"/>
        </w:rPr>
        <w:fldChar w:fldCharType="separate"/>
      </w:r>
      <w:r w:rsidRPr="00045649">
        <w:rPr>
          <w:rFonts w:ascii="Footlight MT Light" w:eastAsia="Cambria" w:hAnsi="Footlight MT Light" w:cs="Cambria"/>
          <w:noProof/>
          <w:sz w:val="24"/>
          <w:szCs w:val="24"/>
          <w:lang w:val="en-US"/>
        </w:rPr>
        <w:t>(Rian. dkk, 2023)</w:t>
      </w:r>
      <w:r w:rsidRPr="00045649">
        <w:rPr>
          <w:rFonts w:ascii="Footlight MT Light" w:eastAsia="Cambria" w:hAnsi="Footlight MT Light" w:cs="Cambria"/>
          <w:sz w:val="24"/>
          <w:szCs w:val="24"/>
          <w:lang w:val="en-US"/>
        </w:rPr>
        <w:fldChar w:fldCharType="end"/>
      </w:r>
      <w:r w:rsidR="00885B97">
        <w:rPr>
          <w:rFonts w:ascii="Footlight MT Light" w:eastAsia="Cambria" w:hAnsi="Footlight MT Light" w:cs="Cambria"/>
          <w:sz w:val="24"/>
          <w:szCs w:val="24"/>
          <w:lang w:val="en-US"/>
        </w:rPr>
        <w:t xml:space="preserve">. </w:t>
      </w:r>
      <w:r w:rsidRPr="00045649">
        <w:rPr>
          <w:rFonts w:ascii="Footlight MT Light" w:eastAsia="Cambria" w:hAnsi="Footlight MT Light" w:cs="Cambria"/>
          <w:sz w:val="24"/>
          <w:szCs w:val="24"/>
          <w:lang w:val="en-US"/>
        </w:rPr>
        <w:t xml:space="preserve">Sebelumnya penelitian terkait judi online telah dilakukan oleb beberapa peneliti lainnya, namun penelitian yang dilakukan hanya sebatas meneliti dampak serta bagaimana pandangan hukum positif maupun hukum Islam dalam fenomena judi online. Di sisi lain penelitian terkait solusi yang komprehensif dalam mengatasi judi online dalam masyarakat muslim belum diteliti secara eksplisit oleh peneliti lainnya. Adapun penelitian tersebut yakni penelitian yang dilakukan oleh Askana Fikriana, dkk (2024) dalam penelitian berjudul “Pengaruh Judi Online terhadap Kesejahteraan Masyarakat Muslim Perspektif Fiqh Siyasah” menunjukkan bahwa para ulama sepakat melarang perjudian dengan taruhan sebab pengaruh judi online dapat mengancam kesejahteraan umat muslim. </w:t>
      </w:r>
    </w:p>
    <w:p w14:paraId="77DF9027" w14:textId="75C33061" w:rsidR="00F867D6" w:rsidRPr="00045649" w:rsidRDefault="00F867D6" w:rsidP="00885B97">
      <w:pPr>
        <w:widowControl w:val="0"/>
        <w:autoSpaceDE w:val="0"/>
        <w:autoSpaceDN w:val="0"/>
        <w:ind w:firstLine="567"/>
        <w:jc w:val="both"/>
        <w:rPr>
          <w:rFonts w:ascii="Footlight MT Light" w:eastAsia="Cambria" w:hAnsi="Footlight MT Light" w:cs="Cambria"/>
          <w:sz w:val="24"/>
          <w:szCs w:val="24"/>
          <w:lang w:val="en-US"/>
        </w:rPr>
      </w:pPr>
      <w:r w:rsidRPr="00045649">
        <w:rPr>
          <w:rFonts w:ascii="Footlight MT Light" w:eastAsia="Cambria" w:hAnsi="Footlight MT Light" w:cs="Cambria"/>
          <w:sz w:val="24"/>
          <w:szCs w:val="24"/>
          <w:lang w:val="en-US"/>
        </w:rPr>
        <w:t>Penelitian sebelumnya juga dilakukan oleh Fidyan Hamdi Lubis, dkk (2023) dalam penelitian berjudul “Fenomena Judi Online di Kalangan Remaja dan Faktor Penyebab Maraknya Serta Pandangan Hukum Positif dan Hukum Islam (Maqashid Syariah)” yang menjelaskan bahwa Kesimpulannya, Hukum Positif Indonesia dan Hukum Islam berperan penting dalam mengatasi dampak negatif kecanduan judi online, terutama pada generasi muda. Judi online merusak moral, memicu kemalasan, dan merugikan secara psikologis, fisik, serta sosial. Dengan adanya KUHP Pasal 303 dan 303 bis, penegakan hukum menjadi langkah penting untuk melindungi generasi muda dan moral masyarakat.</w:t>
      </w:r>
      <w:r w:rsidRPr="00045649">
        <w:rPr>
          <w:rFonts w:ascii="Footlight MT Light" w:eastAsia="Cambria" w:hAnsi="Footlight MT Light"/>
          <w:color w:val="0000FF"/>
          <w:sz w:val="24"/>
          <w:szCs w:val="24"/>
          <w:u w:val="single"/>
          <w:lang w:val="en-US"/>
        </w:rPr>
        <w:t xml:space="preserve"> </w:t>
      </w:r>
      <w:r w:rsidRPr="00045649">
        <w:rPr>
          <w:rFonts w:ascii="Footlight MT Light" w:eastAsia="Cambria" w:hAnsi="Footlight MT Light"/>
          <w:sz w:val="24"/>
          <w:szCs w:val="24"/>
          <w:vertAlign w:val="superscript"/>
          <w:lang w:val="en-US"/>
        </w:rPr>
        <w:fldChar w:fldCharType="begin" w:fldLock="1"/>
      </w:r>
      <w:r w:rsidRPr="00045649">
        <w:rPr>
          <w:rFonts w:ascii="Footlight MT Light" w:eastAsia="Cambria" w:hAnsi="Footlight MT Light"/>
          <w:sz w:val="24"/>
          <w:szCs w:val="24"/>
          <w:lang w:val="en-US"/>
        </w:rPr>
        <w:instrText>ADDIN CSL_CITATION {"citationItems":[{"id":"ITEM-1","itemData":{"ISSN":"2685-936X","author":[{"dropping-particle":"","family":"Lubis","given":"Fidyan Hamdi","non-dropping-particle":"","parse-names":false,"suffix":""},{"dropping-particle":"","family":"Pane","given":"Melisa","non-dropping-particle":"","parse-names":false,"suffix":""},{"dropping-particle":"","family":"Irwansyah","given":"Irwansyah","non-dropping-particle":"","parse-names":false,"suffix":""}],"container-title":"Jurnal Pendidikan Dan Konseling (JPDK)","id":"ITEM-1","issue":"2","issued":{"date-parts":[["2023"]]},"page":"2655-2663","title":"Fenomena Judi Online di Kalangan Remaja dan Faktor penyebab Maraknya Serta Pandangan Hukum Positif dan Hukum Islam (Maqashid Syariah)","type":"article-journal","volume":"5"},"uris":["http://www.mendeley.com/documents/?uuid=eceea849-c942-4cef-aeaf-77ca250e84f3","http://www.mendeley.com/documents/?uuid=52683f2e-aa73-4397-badb-31607f7c872b","http://www.mendeley.com/documents/?uuid=5c3aae4e-4e8a-4b85-a2cc-a385377ff27a"]}],"mendeley":{"formattedCitation":"(Lubis et al., 2023)","plainTextFormattedCitation":"(Lubis et al., 2023)","previouslyFormattedCitation":"(Lubis et al., 2023)"},"properties":{"noteIndex":0},"schema":"https://github.com/citation-style-language/schema/raw/master/csl-citation.json"}</w:instrText>
      </w:r>
      <w:r w:rsidRPr="00045649">
        <w:rPr>
          <w:rFonts w:ascii="Footlight MT Light" w:eastAsia="Cambria" w:hAnsi="Footlight MT Light"/>
          <w:sz w:val="24"/>
          <w:szCs w:val="24"/>
          <w:vertAlign w:val="superscript"/>
          <w:lang w:val="en-US"/>
        </w:rPr>
        <w:fldChar w:fldCharType="separate"/>
      </w:r>
      <w:r w:rsidRPr="00045649">
        <w:rPr>
          <w:rFonts w:ascii="Footlight MT Light" w:eastAsia="Cambria" w:hAnsi="Footlight MT Light"/>
          <w:bCs/>
          <w:noProof/>
          <w:sz w:val="24"/>
          <w:szCs w:val="24"/>
          <w:lang w:val="en-US"/>
        </w:rPr>
        <w:t>(Lubis et al., 2023)</w:t>
      </w:r>
      <w:r w:rsidRPr="00045649">
        <w:rPr>
          <w:rFonts w:ascii="Footlight MT Light" w:eastAsia="Cambria" w:hAnsi="Footlight MT Light"/>
          <w:sz w:val="24"/>
          <w:szCs w:val="24"/>
          <w:vertAlign w:val="superscript"/>
          <w:lang w:val="en-US"/>
        </w:rPr>
        <w:fldChar w:fldCharType="end"/>
      </w:r>
      <w:r w:rsidR="00885B97">
        <w:rPr>
          <w:rFonts w:ascii="Footlight MT Light" w:eastAsia="Cambria" w:hAnsi="Footlight MT Light"/>
          <w:sz w:val="24"/>
          <w:szCs w:val="24"/>
          <w:lang w:val="en-US"/>
        </w:rPr>
        <w:t>.</w:t>
      </w:r>
      <w:r w:rsidR="00D05CC1" w:rsidRPr="00045649">
        <w:rPr>
          <w:rFonts w:ascii="Footlight MT Light" w:eastAsia="Cambria" w:hAnsi="Footlight MT Light" w:cs="Cambria"/>
          <w:sz w:val="24"/>
          <w:szCs w:val="24"/>
          <w:lang w:val="en-US"/>
        </w:rPr>
        <w:tab/>
      </w:r>
      <w:r w:rsidRPr="00045649">
        <w:rPr>
          <w:rFonts w:ascii="Footlight MT Light" w:eastAsia="Cambria" w:hAnsi="Footlight MT Light" w:cs="Cambria"/>
          <w:sz w:val="24"/>
          <w:szCs w:val="24"/>
          <w:lang w:val="en-US"/>
        </w:rPr>
        <w:t>Penelitian terdahulu juga dilakukan oleh Delis Fitriya Nur Hidayah, dkk (2024) dalam penelitian berjudul “Menelaah Fenomena Judi Online (Slot) di Kalangan Mahasiswa dalam Perspektif Hukum Islam di Indonesia” yang merumuskan bahwa banyak mahasiswa yang pernah mengalami judi online (slot), sehingga hukum Islam perlu ditingkatkan untuk memberantas penggunaan judi online (slot) di kalangan mahasiswa.</w:t>
      </w:r>
      <w:r w:rsidRPr="00045649">
        <w:rPr>
          <w:rFonts w:ascii="Footlight MT Light" w:eastAsia="Cambria" w:hAnsi="Footlight MT Light" w:cs="Cambria"/>
          <w:sz w:val="24"/>
          <w:szCs w:val="24"/>
          <w:lang w:val="en-US"/>
        </w:rPr>
        <w:fldChar w:fldCharType="begin" w:fldLock="1"/>
      </w:r>
      <w:r w:rsidRPr="00045649">
        <w:rPr>
          <w:rFonts w:ascii="Footlight MT Light" w:eastAsia="Cambria" w:hAnsi="Footlight MT Light" w:cs="Cambria"/>
          <w:sz w:val="24"/>
          <w:szCs w:val="24"/>
          <w:lang w:val="en-US"/>
        </w:rPr>
        <w:instrText>ADDIN CSL_CITATION {"citationItems":[{"id":"ITEM-1","itemData":{"ISSN":"3030-8917","abstract":"Abstrak Penelitian ini membahas mengenai fenomena judi online dikalangan mahasiwa yang sedang marak terjadi. Tujuan penelitian ini untuk menanggulangi penggunaan judi online (slot) dan meningkatkan hukum Islam terhadap judi online (slot) di Indonesia pada kalangan mahasiswa. Penelitian dilakukan dengan pendekatan kualitatif dan menggunakan metode penelitian deskriptif. Berdasarkan hasil penelitian dapat disimpulkan bahwa banyak mahasiswa yang pernah mengalami judi online (slot). Oleh karena itu perlu ditingkatkan kembali hukum Islam di Indonesia yang dapat memberantas penggunaan judi online (slot) pada kalangan mahasiswa. Abstract This research discusses the phenomenon of online gambling among students which is currently widespread. The aim of this research is to overcome the use of online gambling (slots) and improve Islamic law regarding online gambling (slots) in Indonesia among students. The research was conducted with a qualitative approach and used descriptive research methods. Based on the research results, it can be concluded that many students have experienced online gambling (slots). Therefore, it is necessary to improve Islamic law in Indonesia so that it can eradicate the use of online gambling (slots) among students.","author":[{"dropping-particle":"","family":"Hidayah","given":"Delis Fitriya Nur","non-dropping-particle":"","parse-names":false,"suffix":""},{"dropping-particle":"","family":"Putri","given":"Diana Febrianty","non-dropping-particle":"","parse-names":false,"suffix":""},{"dropping-particle":"","family":"Salsabila","given":"Farha","non-dropping-particle":"","parse-names":false,"suffix":""},{"dropping-particle":"","family":"Yunaenti","given":"Sam Rizqi","non-dropping-particle":"","parse-names":false,"suffix":""},{"dropping-particle":"","family":"Nuryanti","given":"Tarisa","non-dropping-particle":"","parse-names":false,"suffix":""},{"dropping-particle":"","family":"Nurjaman","given":"Asep Rudi","non-dropping-particle":"","parse-names":false,"suffix":""}],"container-title":"Jurnal Kajian Agama dan Dakwah","id":"ITEM-1","issue":"3","issued":{"date-parts":[["2024"]]},"page":"1-18","title":"Menelaah Fenomena Judi Online (Slot) Di Kalangan Mahasiswa Dalam Perspektif Hukum Islam Di Indonesia","type":"article-journal","volume":"2"},"uris":["http://www.mendeley.com/documents/?uuid=16fc44d7-91d5-409b-b0b0-fc2c4e31e98b"]}],"mendeley":{"formattedCitation":"(Hidayah et al., 2024)","plainTextFormattedCitation":"(Hidayah et al., 2024)","previouslyFormattedCitation":"(Hidayah et al., 2024)"},"properties":{"noteIndex":0},"schema":"https://github.com/citation-style-language/schema/raw/master/csl-citation.json"}</w:instrText>
      </w:r>
      <w:r w:rsidRPr="00045649">
        <w:rPr>
          <w:rFonts w:ascii="Footlight MT Light" w:eastAsia="Cambria" w:hAnsi="Footlight MT Light" w:cs="Cambria"/>
          <w:sz w:val="24"/>
          <w:szCs w:val="24"/>
          <w:lang w:val="en-US"/>
        </w:rPr>
        <w:fldChar w:fldCharType="separate"/>
      </w:r>
      <w:r w:rsidRPr="00045649">
        <w:rPr>
          <w:rFonts w:ascii="Footlight MT Light" w:eastAsia="Cambria" w:hAnsi="Footlight MT Light" w:cs="Cambria"/>
          <w:noProof/>
          <w:sz w:val="24"/>
          <w:szCs w:val="24"/>
          <w:lang w:val="en-US"/>
        </w:rPr>
        <w:t>(Hidayah et al., 2024)</w:t>
      </w:r>
      <w:r w:rsidRPr="00045649">
        <w:rPr>
          <w:rFonts w:ascii="Footlight MT Light" w:eastAsia="Cambria" w:hAnsi="Footlight MT Light" w:cs="Cambria"/>
          <w:sz w:val="24"/>
          <w:szCs w:val="24"/>
          <w:lang w:val="en-US"/>
        </w:rPr>
        <w:fldChar w:fldCharType="end"/>
      </w:r>
      <w:r w:rsidR="00885B97">
        <w:rPr>
          <w:rFonts w:ascii="Footlight MT Light" w:eastAsia="Cambria" w:hAnsi="Footlight MT Light" w:cs="Cambria"/>
          <w:sz w:val="24"/>
          <w:szCs w:val="24"/>
          <w:lang w:val="en-US"/>
        </w:rPr>
        <w:t>.</w:t>
      </w:r>
      <w:r w:rsidRPr="00045649">
        <w:rPr>
          <w:rFonts w:ascii="Footlight MT Light" w:eastAsia="Cambria" w:hAnsi="Footlight MT Light" w:cs="Cambria"/>
          <w:sz w:val="24"/>
          <w:szCs w:val="24"/>
          <w:lang w:val="en-US"/>
        </w:rPr>
        <w:t xml:space="preserve"> </w:t>
      </w:r>
    </w:p>
    <w:p w14:paraId="56F8ABFC" w14:textId="53099C44" w:rsidR="00F867D6" w:rsidRPr="00045649" w:rsidRDefault="00F867D6" w:rsidP="00885B97">
      <w:pPr>
        <w:widowControl w:val="0"/>
        <w:autoSpaceDE w:val="0"/>
        <w:autoSpaceDN w:val="0"/>
        <w:ind w:firstLine="567"/>
        <w:jc w:val="both"/>
        <w:rPr>
          <w:rFonts w:ascii="Footlight MT Light" w:eastAsia="Cambria" w:hAnsi="Footlight MT Light" w:cs="Cambria"/>
          <w:sz w:val="24"/>
          <w:szCs w:val="24"/>
          <w:lang w:val="en-US"/>
        </w:rPr>
      </w:pPr>
      <w:r w:rsidRPr="00045649">
        <w:rPr>
          <w:rFonts w:ascii="Footlight MT Light" w:eastAsia="Cambria" w:hAnsi="Footlight MT Light" w:cs="Cambria"/>
          <w:sz w:val="24"/>
          <w:szCs w:val="24"/>
          <w:lang w:val="en-US"/>
        </w:rPr>
        <w:t xml:space="preserve">Penelitian lain juga dilakukan oleh Ahmad Mu’is, dkk (2024) dalam penelitian berjudul “Tinjauan Hukum Islam tentang Menafkahi Keluarga dengan Hasil Judi Online” menjelaskan bahwa praktik judi online diharamkan Allah swt, walaupun dengan alasan untuk mencari uang. Judi online memiliki dampak serius terhadap keharmonisan rumah tangga, seperti terlilitnya </w:t>
      </w:r>
      <w:r w:rsidRPr="00045649">
        <w:rPr>
          <w:rFonts w:ascii="Footlight MT Light" w:eastAsia="Cambria" w:hAnsi="Footlight MT Light" w:cs="Cambria"/>
          <w:sz w:val="24"/>
          <w:szCs w:val="24"/>
          <w:lang w:val="en-US"/>
        </w:rPr>
        <w:lastRenderedPageBreak/>
        <w:t>utang, hilangnya hak dan kewajiban suami istri, memburuknya kondisi ekonomi keluarga, hingga status pernikahan yang tergantung dan berakhir pada ketidakharmonisan rumah tangga.</w:t>
      </w:r>
      <w:r w:rsidR="00885B97">
        <w:rPr>
          <w:rFonts w:ascii="Footlight MT Light" w:eastAsia="Cambria" w:hAnsi="Footlight MT Light" w:cs="Cambria"/>
          <w:sz w:val="24"/>
          <w:szCs w:val="24"/>
          <w:lang w:val="en-US"/>
        </w:rPr>
        <w:t xml:space="preserve"> </w:t>
      </w:r>
      <w:r w:rsidRPr="00045649">
        <w:rPr>
          <w:rFonts w:ascii="Footlight MT Light" w:eastAsia="Cambria" w:hAnsi="Footlight MT Light" w:cs="Cambria"/>
          <w:sz w:val="24"/>
          <w:szCs w:val="24"/>
          <w:lang w:val="en-US"/>
        </w:rPr>
        <w:t xml:space="preserve">Penelitian ini penting untuk dilakukan dengan tujuan untuk melengkapi kekurangan dalam penelitian sebelumnya yang dimana dalam penelitian terdahulu belum ada satupun yang menyentuh upaya pencegahan dan upaya mengatasi praktik judi online melalui pendekan integrative yang komprehensif. Sehingga diharapkan penelitian ini dapat membawakan kontribusi yang lebih dalam menjadi solusi pencegahan praktik judi online di kalangan masyarakat muslim khususnya di Sulawesi Selatan. </w:t>
      </w:r>
    </w:p>
    <w:p w14:paraId="04453369" w14:textId="77777777" w:rsidR="00D962E0" w:rsidRPr="00045649" w:rsidRDefault="00D962E0">
      <w:pPr>
        <w:jc w:val="both"/>
        <w:rPr>
          <w:rFonts w:ascii="Footlight MT Light" w:eastAsia="Gentium Basic" w:hAnsi="Footlight MT Light" w:cs="Gentium Basic"/>
          <w:sz w:val="24"/>
          <w:szCs w:val="24"/>
        </w:rPr>
      </w:pPr>
    </w:p>
    <w:p w14:paraId="4C48879B" w14:textId="78499499" w:rsidR="006A2710" w:rsidRPr="00045649" w:rsidRDefault="00410F8E" w:rsidP="006A2710">
      <w:pPr>
        <w:pBdr>
          <w:top w:val="nil"/>
          <w:left w:val="nil"/>
          <w:bottom w:val="nil"/>
          <w:right w:val="nil"/>
          <w:between w:val="nil"/>
        </w:pBdr>
        <w:rPr>
          <w:rFonts w:ascii="Footlight MT Light" w:eastAsia="Gentium Basic" w:hAnsi="Footlight MT Light" w:cs="Gentium Basic"/>
          <w:b/>
          <w:color w:val="000000"/>
          <w:sz w:val="24"/>
          <w:szCs w:val="24"/>
        </w:rPr>
      </w:pPr>
      <w:r w:rsidRPr="00045649">
        <w:rPr>
          <w:rFonts w:ascii="Footlight MT Light" w:eastAsia="Gentium Basic" w:hAnsi="Footlight MT Light" w:cs="Gentium Basic"/>
          <w:b/>
          <w:color w:val="000000"/>
          <w:sz w:val="24"/>
          <w:szCs w:val="24"/>
        </w:rPr>
        <w:t>METODE PE</w:t>
      </w:r>
      <w:r w:rsidRPr="00045649">
        <w:rPr>
          <w:rFonts w:ascii="Footlight MT Light" w:eastAsia="Gentium Basic" w:hAnsi="Footlight MT Light" w:cs="Gentium Basic"/>
          <w:b/>
          <w:sz w:val="24"/>
          <w:szCs w:val="24"/>
        </w:rPr>
        <w:t>NELITI</w:t>
      </w:r>
      <w:r w:rsidRPr="00045649">
        <w:rPr>
          <w:rFonts w:ascii="Footlight MT Light" w:eastAsia="Gentium Basic" w:hAnsi="Footlight MT Light" w:cs="Gentium Basic"/>
          <w:b/>
          <w:color w:val="000000"/>
          <w:sz w:val="24"/>
          <w:szCs w:val="24"/>
        </w:rPr>
        <w:t xml:space="preserve">AN </w:t>
      </w:r>
    </w:p>
    <w:p w14:paraId="29925804" w14:textId="77777777" w:rsidR="00593697" w:rsidRDefault="006A2710" w:rsidP="00593697">
      <w:pPr>
        <w:widowControl w:val="0"/>
        <w:autoSpaceDE w:val="0"/>
        <w:autoSpaceDN w:val="0"/>
        <w:ind w:firstLine="567"/>
        <w:jc w:val="both"/>
        <w:rPr>
          <w:rFonts w:ascii="Footlight MT Light" w:eastAsia="Cambria" w:hAnsi="Footlight MT Light" w:cs="Cambria"/>
          <w:bCs/>
          <w:sz w:val="24"/>
          <w:szCs w:val="24"/>
          <w:lang w:val="id-ID"/>
        </w:rPr>
      </w:pPr>
      <w:r w:rsidRPr="00045649">
        <w:rPr>
          <w:rFonts w:ascii="Footlight MT Light" w:eastAsia="Cambria" w:hAnsi="Footlight MT Light" w:cs="Cambria"/>
          <w:bCs/>
          <w:sz w:val="24"/>
          <w:szCs w:val="24"/>
          <w:lang w:val="id-ID"/>
        </w:rPr>
        <w:t>Penelitian ini merupakan penelitian kualitatif dengan pendekatan empiris-fenomenologis yang bertujuan memahami secara mendalam realitas sosial praktik judi online di kalangan masyarakat Muslim Sulawesi Selatan. Pendekatan fenomenologis digunakan untuk menggali pengalaman subjektif aparat penegak hukum, tokoh agama, akademisi, serta masyarakat terdampak. Selain itu, penelitian ini mengintegrasikan analisis tafsir tematik (</w:t>
      </w:r>
      <w:r w:rsidRPr="00045649">
        <w:rPr>
          <w:rFonts w:ascii="Footlight MT Light" w:eastAsia="Cambria" w:hAnsi="Footlight MT Light" w:cs="Cambria"/>
          <w:bCs/>
          <w:i/>
          <w:iCs/>
          <w:sz w:val="24"/>
          <w:szCs w:val="24"/>
          <w:lang w:val="id-ID"/>
        </w:rPr>
        <w:t>maudh</w:t>
      </w:r>
      <w:r w:rsidRPr="00045649">
        <w:rPr>
          <w:rFonts w:ascii="Cambria" w:eastAsia="Cambria" w:hAnsi="Cambria" w:cs="Cambria"/>
          <w:bCs/>
          <w:i/>
          <w:iCs/>
          <w:sz w:val="24"/>
          <w:szCs w:val="24"/>
          <w:lang w:val="id-ID"/>
        </w:rPr>
        <w:t>ū</w:t>
      </w:r>
      <w:r w:rsidRPr="00045649">
        <w:rPr>
          <w:rFonts w:ascii="Footlight MT Light" w:eastAsia="Cambria" w:hAnsi="Footlight MT Light" w:cs="Footlight MT Light"/>
          <w:bCs/>
          <w:i/>
          <w:iCs/>
          <w:sz w:val="24"/>
          <w:szCs w:val="24"/>
          <w:lang w:val="id-ID"/>
        </w:rPr>
        <w:t>‘</w:t>
      </w:r>
      <w:r w:rsidRPr="00045649">
        <w:rPr>
          <w:rFonts w:ascii="Footlight MT Light" w:eastAsia="Cambria" w:hAnsi="Footlight MT Light" w:cs="Cambria"/>
          <w:bCs/>
          <w:i/>
          <w:iCs/>
          <w:sz w:val="24"/>
          <w:szCs w:val="24"/>
          <w:lang w:val="id-ID"/>
        </w:rPr>
        <w:t>i</w:t>
      </w:r>
      <w:r w:rsidRPr="00045649">
        <w:rPr>
          <w:rFonts w:ascii="Footlight MT Light" w:eastAsia="Cambria" w:hAnsi="Footlight MT Light" w:cs="Cambria"/>
          <w:bCs/>
          <w:sz w:val="24"/>
          <w:szCs w:val="24"/>
          <w:lang w:val="id-ID"/>
        </w:rPr>
        <w:t>) terhadap ayat-ayat Al-Qur’an tentang maisir sebagai dasar normatif dalam membaca fenomena judi online kontemporer.</w:t>
      </w:r>
      <w:r w:rsidR="00593697">
        <w:rPr>
          <w:rFonts w:ascii="Footlight MT Light" w:eastAsia="Cambria" w:hAnsi="Footlight MT Light" w:cs="Cambria"/>
          <w:bCs/>
          <w:sz w:val="24"/>
          <w:szCs w:val="24"/>
          <w:lang w:val="id-ID"/>
        </w:rPr>
        <w:t xml:space="preserve"> </w:t>
      </w:r>
      <w:r w:rsidRPr="00045649">
        <w:rPr>
          <w:rFonts w:ascii="Footlight MT Light" w:eastAsia="Cambria" w:hAnsi="Footlight MT Light" w:cs="Cambria"/>
          <w:bCs/>
          <w:sz w:val="24"/>
          <w:szCs w:val="24"/>
          <w:lang w:val="id-ID"/>
        </w:rPr>
        <w:t>Penelitian dilaksanakan di Provinsi Sulawesi Selatan dengan fokus pada wilayah penanganan kasus oleh Polda Sulsel. Subjek penelitian ditentukan melalui teknik purposive sampling, meliputi penyidik kepolisian, tokoh agama, akademisi bidang tafsir dan hukum Islam, serta masyarakat yang memiliki keterkaitan langsung dengan praktik judi online.</w:t>
      </w:r>
      <w:r w:rsidR="00593697">
        <w:rPr>
          <w:rFonts w:ascii="Footlight MT Light" w:eastAsia="Cambria" w:hAnsi="Footlight MT Light" w:cs="Cambria"/>
          <w:bCs/>
          <w:sz w:val="24"/>
          <w:szCs w:val="24"/>
          <w:lang w:val="id-ID"/>
        </w:rPr>
        <w:t xml:space="preserve"> </w:t>
      </w:r>
    </w:p>
    <w:p w14:paraId="625D178B" w14:textId="2AECF596" w:rsidR="006A2710" w:rsidRPr="00045649" w:rsidRDefault="006A2710" w:rsidP="00593697">
      <w:pPr>
        <w:widowControl w:val="0"/>
        <w:autoSpaceDE w:val="0"/>
        <w:autoSpaceDN w:val="0"/>
        <w:ind w:firstLine="567"/>
        <w:jc w:val="both"/>
        <w:rPr>
          <w:rFonts w:ascii="Footlight MT Light" w:eastAsia="Cambria" w:hAnsi="Footlight MT Light" w:cs="Cambria"/>
          <w:bCs/>
          <w:sz w:val="24"/>
          <w:szCs w:val="24"/>
          <w:lang w:val="id-ID"/>
        </w:rPr>
      </w:pPr>
      <w:r w:rsidRPr="00045649">
        <w:rPr>
          <w:rFonts w:ascii="Footlight MT Light" w:eastAsia="Cambria" w:hAnsi="Footlight MT Light" w:cs="Cambria"/>
          <w:bCs/>
          <w:sz w:val="24"/>
          <w:szCs w:val="24"/>
          <w:lang w:val="id-ID"/>
        </w:rPr>
        <w:t>Pengumpulan data dilakukan melalui wawancara mendalam, observasi tidak langsung terhadap aktivitas digital terkait judi online (seperti promosi media sosial, penggunaan e-wallet anonim, chip game, dan VPN), serta studi dokumentasi berupa data kasus, regulasi, literatur tafsir, dan penelitian terdahulu. Data dianalisis menggunakan model Miles dan Huberman yang meliputi tahapan reduksi data, penyajian data, dan penarikan kesimpulan secara tematik-integratif antara realitas sosial dan nilai-nilai Qur’ani.</w:t>
      </w:r>
      <w:r w:rsidR="00593697">
        <w:rPr>
          <w:rFonts w:ascii="Footlight MT Light" w:eastAsia="Cambria" w:hAnsi="Footlight MT Light" w:cs="Cambria"/>
          <w:bCs/>
          <w:sz w:val="24"/>
          <w:szCs w:val="24"/>
          <w:lang w:val="id-ID"/>
        </w:rPr>
        <w:t xml:space="preserve"> </w:t>
      </w:r>
      <w:r w:rsidRPr="00045649">
        <w:rPr>
          <w:rFonts w:ascii="Footlight MT Light" w:eastAsia="Cambria" w:hAnsi="Footlight MT Light" w:cs="Cambria"/>
          <w:bCs/>
          <w:sz w:val="24"/>
          <w:szCs w:val="24"/>
          <w:lang w:val="id-ID"/>
        </w:rPr>
        <w:t xml:space="preserve">Keabsahan data dijamin melalui uji </w:t>
      </w:r>
      <w:r w:rsidRPr="00045649">
        <w:rPr>
          <w:rFonts w:ascii="Footlight MT Light" w:eastAsia="Cambria" w:hAnsi="Footlight MT Light" w:cs="Cambria"/>
          <w:bCs/>
          <w:i/>
          <w:iCs/>
          <w:sz w:val="24"/>
          <w:szCs w:val="24"/>
          <w:lang w:val="id-ID"/>
        </w:rPr>
        <w:t>credibility</w:t>
      </w:r>
      <w:r w:rsidRPr="00045649">
        <w:rPr>
          <w:rFonts w:ascii="Footlight MT Light" w:eastAsia="Cambria" w:hAnsi="Footlight MT Light" w:cs="Cambria"/>
          <w:bCs/>
          <w:sz w:val="24"/>
          <w:szCs w:val="24"/>
          <w:lang w:val="id-ID"/>
        </w:rPr>
        <w:t xml:space="preserve"> dengan triangulasi sumber, teknik, dan waktu serta </w:t>
      </w:r>
      <w:r w:rsidRPr="00045649">
        <w:rPr>
          <w:rFonts w:ascii="Footlight MT Light" w:eastAsia="Cambria" w:hAnsi="Footlight MT Light" w:cs="Cambria"/>
          <w:bCs/>
          <w:i/>
          <w:iCs/>
          <w:sz w:val="24"/>
          <w:szCs w:val="24"/>
          <w:lang w:val="id-ID"/>
        </w:rPr>
        <w:t>member</w:t>
      </w:r>
      <w:r w:rsidRPr="00045649">
        <w:rPr>
          <w:rFonts w:ascii="Footlight MT Light" w:eastAsia="Cambria" w:hAnsi="Footlight MT Light" w:cs="Cambria"/>
          <w:bCs/>
          <w:sz w:val="24"/>
          <w:szCs w:val="24"/>
          <w:lang w:val="id-ID"/>
        </w:rPr>
        <w:t xml:space="preserve"> </w:t>
      </w:r>
      <w:r w:rsidRPr="00045649">
        <w:rPr>
          <w:rFonts w:ascii="Footlight MT Light" w:eastAsia="Cambria" w:hAnsi="Footlight MT Light" w:cs="Cambria"/>
          <w:bCs/>
          <w:i/>
          <w:iCs/>
          <w:sz w:val="24"/>
          <w:szCs w:val="24"/>
          <w:lang w:val="id-ID"/>
        </w:rPr>
        <w:t>check</w:t>
      </w:r>
      <w:r w:rsidRPr="00045649">
        <w:rPr>
          <w:rFonts w:ascii="Footlight MT Light" w:eastAsia="Cambria" w:hAnsi="Footlight MT Light" w:cs="Cambria"/>
          <w:bCs/>
          <w:sz w:val="24"/>
          <w:szCs w:val="24"/>
          <w:lang w:val="id-ID"/>
        </w:rPr>
        <w:t xml:space="preserve">; </w:t>
      </w:r>
      <w:r w:rsidRPr="00045649">
        <w:rPr>
          <w:rFonts w:ascii="Footlight MT Light" w:eastAsia="Cambria" w:hAnsi="Footlight MT Light" w:cs="Cambria"/>
          <w:bCs/>
          <w:i/>
          <w:iCs/>
          <w:sz w:val="24"/>
          <w:szCs w:val="24"/>
          <w:lang w:val="id-ID"/>
        </w:rPr>
        <w:t>transferability</w:t>
      </w:r>
      <w:r w:rsidRPr="00045649">
        <w:rPr>
          <w:rFonts w:ascii="Footlight MT Light" w:eastAsia="Cambria" w:hAnsi="Footlight MT Light" w:cs="Cambria"/>
          <w:bCs/>
          <w:sz w:val="24"/>
          <w:szCs w:val="24"/>
          <w:lang w:val="id-ID"/>
        </w:rPr>
        <w:t xml:space="preserve"> melalui deskripsi kontekstual yang rinci; dependability melalui audit trail proses penelitian; serta </w:t>
      </w:r>
      <w:r w:rsidRPr="00045649">
        <w:rPr>
          <w:rFonts w:ascii="Footlight MT Light" w:eastAsia="Cambria" w:hAnsi="Footlight MT Light" w:cs="Cambria"/>
          <w:bCs/>
          <w:i/>
          <w:iCs/>
          <w:sz w:val="24"/>
          <w:szCs w:val="24"/>
          <w:lang w:val="id-ID"/>
        </w:rPr>
        <w:t>confirmability</w:t>
      </w:r>
      <w:r w:rsidRPr="00045649">
        <w:rPr>
          <w:rFonts w:ascii="Footlight MT Light" w:eastAsia="Cambria" w:hAnsi="Footlight MT Light" w:cs="Cambria"/>
          <w:bCs/>
          <w:sz w:val="24"/>
          <w:szCs w:val="24"/>
          <w:lang w:val="id-ID"/>
        </w:rPr>
        <w:t xml:space="preserve"> melalui penyajian data yang objektif dan evaluasi silang tim peneliti. Prosedur penelitian meliputi tahap pra-lapangan, pelaksanaan lapangan, serta analisis dan penyusunan laporan yang terintegrasi dengan perumusan model </w:t>
      </w:r>
      <w:r w:rsidRPr="00045649">
        <w:rPr>
          <w:rFonts w:ascii="Footlight MT Light" w:eastAsia="Cambria" w:hAnsi="Footlight MT Light" w:cs="Cambria"/>
          <w:bCs/>
          <w:i/>
          <w:iCs/>
          <w:sz w:val="24"/>
          <w:szCs w:val="24"/>
          <w:lang w:val="id-ID"/>
        </w:rPr>
        <w:t>Islamic Techno-Ethics</w:t>
      </w:r>
      <w:r w:rsidRPr="00045649">
        <w:rPr>
          <w:rFonts w:ascii="Footlight MT Light" w:eastAsia="Cambria" w:hAnsi="Footlight MT Light" w:cs="Cambria"/>
          <w:bCs/>
          <w:sz w:val="24"/>
          <w:szCs w:val="24"/>
          <w:lang w:val="id-ID"/>
        </w:rPr>
        <w:t xml:space="preserve"> sebagai kontribusi konseptual penelitian.</w:t>
      </w:r>
    </w:p>
    <w:p w14:paraId="00D260B8" w14:textId="77777777" w:rsidR="00D962E0" w:rsidRPr="00045649" w:rsidRDefault="00D962E0">
      <w:pPr>
        <w:jc w:val="both"/>
        <w:rPr>
          <w:rFonts w:ascii="Footlight MT Light" w:eastAsia="Gentium Basic" w:hAnsi="Footlight MT Light" w:cs="Gentium Basic"/>
          <w:sz w:val="24"/>
          <w:szCs w:val="24"/>
          <w:lang w:val="id-ID"/>
        </w:rPr>
      </w:pPr>
    </w:p>
    <w:p w14:paraId="00D69503" w14:textId="62E9250C" w:rsidR="004C3B16" w:rsidRPr="00045649" w:rsidRDefault="00410F8E" w:rsidP="004C3B16">
      <w:pPr>
        <w:jc w:val="both"/>
        <w:rPr>
          <w:rFonts w:ascii="Footlight MT Light" w:eastAsia="Gentium Basic" w:hAnsi="Footlight MT Light" w:cs="Gentium Basic"/>
          <w:sz w:val="24"/>
          <w:szCs w:val="24"/>
        </w:rPr>
      </w:pPr>
      <w:r w:rsidRPr="00045649">
        <w:rPr>
          <w:rFonts w:ascii="Footlight MT Light" w:eastAsia="Gentium Basic" w:hAnsi="Footlight MT Light" w:cs="Gentium Basic"/>
          <w:b/>
          <w:sz w:val="24"/>
          <w:szCs w:val="24"/>
        </w:rPr>
        <w:t xml:space="preserve">HASIL DAN PEMBAHASAN </w:t>
      </w:r>
    </w:p>
    <w:p w14:paraId="264D755A" w14:textId="77777777" w:rsidR="004C3B16" w:rsidRPr="00045649" w:rsidRDefault="004C3B16" w:rsidP="004C3B16">
      <w:pPr>
        <w:widowControl w:val="0"/>
        <w:autoSpaceDE w:val="0"/>
        <w:autoSpaceDN w:val="0"/>
        <w:jc w:val="both"/>
        <w:rPr>
          <w:rFonts w:ascii="Footlight MT Light" w:eastAsia="Cambria" w:hAnsi="Footlight MT Light" w:cs="Cambria"/>
          <w:b/>
          <w:bCs/>
          <w:sz w:val="24"/>
          <w:szCs w:val="22"/>
          <w:lang w:val="id-ID"/>
        </w:rPr>
      </w:pPr>
      <w:r w:rsidRPr="00045649">
        <w:rPr>
          <w:rFonts w:ascii="Footlight MT Light" w:eastAsia="Cambria" w:hAnsi="Footlight MT Light" w:cs="Cambria"/>
          <w:b/>
          <w:bCs/>
          <w:sz w:val="24"/>
          <w:szCs w:val="22"/>
          <w:lang w:val="id-ID"/>
        </w:rPr>
        <w:t>Statistik Prevalensi Kejahatan Judi Online yang Terjadi di Wilayah Provinsi Sulawesi Selatan</w:t>
      </w:r>
    </w:p>
    <w:p w14:paraId="105A8C42" w14:textId="77777777" w:rsid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045649">
        <w:rPr>
          <w:rFonts w:ascii="Footlight MT Light" w:eastAsia="Cambria" w:hAnsi="Footlight MT Light" w:cs="Cambria"/>
          <w:bCs/>
          <w:sz w:val="24"/>
          <w:szCs w:val="22"/>
          <w:lang w:val="id-ID"/>
        </w:rPr>
        <w:t>Provinsi Sulawesi Selatan merupakan salah satu wilayah dengan perkembangan ekonomi dan teknologi digital yang pesat, sekaligus menjadi pusat aktivitas sosial dan pendidikan di kawasan timur Indonesia. Berdasarkan data Badan Pusat Statistik (BPS) tahun 2025, provinsi ini dihuni lebih dari 9 juta jiwa dan terdiri atas 24 kabupaten/kota dengan tingkat penetrasi internet yang terus meningkat setiap tahun. Kondisi sosial-ekonomi tersebut menciptakan ruang digital yang berkembang dinamis, namun sekaligus menimbulkan kerentanan terhadap kejahatan berbasis teknologi, termasuk judi online. Fenomena judi online di Sulawesi Selatan menunjukkan tren kenaikan yang signifikan sejak 2020 hingga 2025. Data kepolisian mencatat bahwa wilayah ini menjadi salah satu provinsi dengan prevalensi kasus judi online tertinggi di luar Pulau Jawa. Penyebaran jaringan permainan daring seperti slot, casino online, dan permainan berbasis chip (Higgs Domino) semakin meluas, terutama di pusat-pusat perkotaan seperti Makassar, Bone, dan Pangkep. Informasi ini sejalan dengan laporan Tri Meilani Ameliya (2024) yang menempatkan Sulawesi Selatan dalam kategori wilayah dengan pertumbuhan kasus tercepat di Indonesia.</w:t>
      </w:r>
    </w:p>
    <w:p w14:paraId="40206D08" w14:textId="77777777" w:rsid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045649">
        <w:rPr>
          <w:rFonts w:ascii="Footlight MT Light" w:eastAsia="Cambria" w:hAnsi="Footlight MT Light" w:cs="Cambria"/>
          <w:bCs/>
          <w:sz w:val="24"/>
          <w:szCs w:val="22"/>
          <w:lang w:val="id-ID"/>
        </w:rPr>
        <w:t>Data empiris dari Polda Sulawesi Selatan memperlihatkan kenaikan tajam jumlah kasus dalam tiga tahun terakhir. Berdasarkan wawancara dengan penyidik Subdit V Cyber Crime, diketahui bahwa pada tahun 2022 terdapat 5 kasus dengan 9 tersangka; jumlah ini meningkat menjadi 11 kasus dengan 18 tersangka pada tahun 2023, dan kembali meningkat hingga 14 kasus dengan 26 tersangka pada pertengahan 2025.</w:t>
      </w:r>
      <w:r w:rsidR="00593697">
        <w:rPr>
          <w:rFonts w:ascii="Footlight MT Light" w:eastAsia="Cambria" w:hAnsi="Footlight MT Light" w:cs="Cambria"/>
          <w:bCs/>
          <w:sz w:val="24"/>
          <w:szCs w:val="22"/>
          <w:lang w:val="id-ID"/>
        </w:rPr>
        <w:t xml:space="preserve"> </w:t>
      </w:r>
      <w:r w:rsidRPr="00045649">
        <w:rPr>
          <w:rFonts w:ascii="Footlight MT Light" w:eastAsia="Cambria" w:hAnsi="Footlight MT Light" w:cs="Cambria"/>
          <w:bCs/>
          <w:sz w:val="24"/>
          <w:szCs w:val="22"/>
          <w:lang w:val="id-ID"/>
        </w:rPr>
        <w:t xml:space="preserve">Dalam wawancara dengan penyidik Subdit V Cyber </w:t>
      </w:r>
      <w:r w:rsidRPr="00045649">
        <w:rPr>
          <w:rFonts w:ascii="Footlight MT Light" w:eastAsia="Cambria" w:hAnsi="Footlight MT Light" w:cs="Cambria"/>
          <w:bCs/>
          <w:sz w:val="24"/>
          <w:szCs w:val="22"/>
          <w:lang w:val="id-ID"/>
        </w:rPr>
        <w:lastRenderedPageBreak/>
        <w:t>Crime Polda Sulsel, diperoleh gambaran bahwa peningkatan kasus bukan hanya terlihat pada jumlah laporan, tetapi juga pada kompleksitas modus operandi. Penyidik menyatakan, “</w:t>
      </w:r>
      <w:r w:rsidRPr="00045649">
        <w:rPr>
          <w:rFonts w:ascii="Footlight MT Light" w:eastAsia="Cambria" w:hAnsi="Footlight MT Light" w:cs="Cambria"/>
          <w:bCs/>
          <w:i/>
          <w:iCs/>
          <w:sz w:val="24"/>
          <w:szCs w:val="22"/>
          <w:lang w:val="id-ID"/>
        </w:rPr>
        <w:t>Kalau dulu pelaku cuma pakai situs biasa, sekarang mereka pakai VPN asing, chip game, hingga dompet digital anonim. Setiap minggu muncul situs baru meski yang lama sudah kami blokir,</w:t>
      </w:r>
      <w:r w:rsidRPr="00045649">
        <w:rPr>
          <w:rFonts w:ascii="Footlight MT Light" w:eastAsia="Cambria" w:hAnsi="Footlight MT Light" w:cs="Cambria"/>
          <w:bCs/>
          <w:sz w:val="24"/>
          <w:szCs w:val="22"/>
          <w:lang w:val="id-ID"/>
        </w:rPr>
        <w:t>” (Penyidik Polda Sulsel, wawancara, 2025). Kutipan ini menunjukkan bahwa ekosistem judi online bersifat adaptif dan terus berubah mengikuti perkembangan teknologi.</w:t>
      </w:r>
    </w:p>
    <w:p w14:paraId="14247702" w14:textId="77777777" w:rsid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045649">
        <w:rPr>
          <w:rFonts w:ascii="Footlight MT Light" w:eastAsia="Cambria" w:hAnsi="Footlight MT Light" w:cs="Cambria"/>
          <w:bCs/>
          <w:sz w:val="24"/>
          <w:szCs w:val="22"/>
          <w:lang w:val="id-ID"/>
        </w:rPr>
        <w:t>Dari dokumentasi Polda Sulsel, ribuan situs judi telah diajukan untuk pemblokiran pada tahun 2024 namun regenerasi situs berlangsung cepat dengan estimasi ratusan situs baru setiap bulan. Fenomena ini menggambarkan betapa masif dan agresifnya industri judi online yang beroperasi lintas platform digital dan lintas yurisdiksi. Situasi tersebut menegaskan urgensi penelitian ini untuk memahami dimensi sosial-keagamaan dan teknologi sebagai dasar perumusan strategi pencegahan yang lebih komprehensif.</w:t>
      </w:r>
      <w:r w:rsidR="00593697">
        <w:rPr>
          <w:rFonts w:ascii="Footlight MT Light" w:eastAsia="Cambria" w:hAnsi="Footlight MT Light" w:cs="Cambria"/>
          <w:bCs/>
          <w:sz w:val="24"/>
          <w:szCs w:val="22"/>
          <w:lang w:val="id-ID"/>
        </w:rPr>
        <w:t xml:space="preserve"> </w:t>
      </w:r>
      <w:r w:rsidRPr="00045649">
        <w:rPr>
          <w:rFonts w:ascii="Footlight MT Light" w:eastAsia="Cambria" w:hAnsi="Footlight MT Light" w:cs="Cambria"/>
          <w:bCs/>
          <w:sz w:val="24"/>
          <w:szCs w:val="22"/>
          <w:lang w:val="id-ID"/>
        </w:rPr>
        <w:t>Fenomena judi online telah berkembang pesat di Indonesia dalam beberapa tahun terakhir. Perkembangan teknologi digital dan penetrasi internet yang semakin luas telah menciptakan ekosistem yang memungkinkan praktik judi online berkembang dengan mudah, meskipun aktivitas ini secara tegas dilarang dalam hukum positif Indonesia dan ajaran agama yang dianut mayoritas masyarakat</w:t>
      </w:r>
      <w:r w:rsidR="00593697">
        <w:rPr>
          <w:rFonts w:ascii="Footlight MT Light" w:eastAsia="Cambria" w:hAnsi="Footlight MT Light" w:cs="Cambria"/>
          <w:bCs/>
          <w:sz w:val="24"/>
          <w:szCs w:val="22"/>
          <w:lang w:val="id-ID"/>
        </w:rPr>
        <w:t xml:space="preserve"> </w:t>
      </w:r>
      <w:r w:rsidRPr="00045649">
        <w:rPr>
          <w:rFonts w:ascii="Footlight MT Light" w:eastAsia="Cambria" w:hAnsi="Footlight MT Light" w:cs="Cambria"/>
          <w:bCs/>
          <w:sz w:val="24"/>
          <w:szCs w:val="22"/>
          <w:lang w:val="id-ID"/>
        </w:rPr>
        <w:fldChar w:fldCharType="begin" w:fldLock="1"/>
      </w:r>
      <w:r w:rsidRPr="00045649">
        <w:rPr>
          <w:rFonts w:ascii="Footlight MT Light" w:eastAsia="Cambria" w:hAnsi="Footlight MT Light" w:cs="Cambria"/>
          <w:bCs/>
          <w:sz w:val="24"/>
          <w:szCs w:val="22"/>
          <w:lang w:val="id-ID"/>
        </w:rPr>
        <w:instrText>ADDIN CSL_CITATION {"citationItems":[{"id":"ITEM-1","itemData":{"author":[{"dropping-particle":"","family":"Ritonga","given":"Irwan","non-dropping-particle":"","parse-names":false,"suffix":""},{"dropping-particle":"","family":"Munthe","given":"Ruly Yansah","non-dropping-particle":"","parse-names":false,"suffix":""},{"dropping-particle":"","family":"Bay","given":"Wahyu Apriza","non-dropping-particle":"","parse-names":false,"suffix":""},{"dropping-particle":"","family":"Marbun","given":"Sahat","non-dropping-particle":"","parse-names":false,"suffix":""}],"container-title":"Tabayyun: Journal Of Islamic Studies","id":"ITEM-1","issue":"01","issued":{"date-parts":[["2025"]]},"title":"Judi Online Dalam Perspektif Hukum Islam Dan Undang-Undang Di Indonesia","type":"article-journal","volume":"3"},"uris":["http://www.mendeley.com/documents/?uuid=70ae87d7-9e6a-42b7-9687-4704ec407de6"]}],"mendeley":{"formattedCitation":"(Ritonga et al., 2025)","plainTextFormattedCitation":"(Ritonga et al., 2025)","previouslyFormattedCitation":"(Ritonga et al., 2025)"},"properties":{"noteIndex":0},"schema":"https://github.com/citation-style-language/schema/raw/master/csl-citation.json"}</w:instrText>
      </w:r>
      <w:r w:rsidRPr="00045649">
        <w:rPr>
          <w:rFonts w:ascii="Footlight MT Light" w:eastAsia="Cambria" w:hAnsi="Footlight MT Light" w:cs="Cambria"/>
          <w:bCs/>
          <w:sz w:val="24"/>
          <w:szCs w:val="22"/>
          <w:lang w:val="id-ID"/>
        </w:rPr>
        <w:fldChar w:fldCharType="separate"/>
      </w:r>
      <w:r w:rsidRPr="00045649">
        <w:rPr>
          <w:rFonts w:ascii="Footlight MT Light" w:eastAsia="Cambria" w:hAnsi="Footlight MT Light" w:cs="Cambria"/>
          <w:bCs/>
          <w:noProof/>
          <w:sz w:val="24"/>
          <w:szCs w:val="22"/>
          <w:lang w:val="id-ID"/>
        </w:rPr>
        <w:t>(Ritonga et al., 2025)</w:t>
      </w:r>
      <w:r w:rsidRPr="00045649">
        <w:rPr>
          <w:rFonts w:ascii="Footlight MT Light" w:eastAsia="Cambria" w:hAnsi="Footlight MT Light" w:cs="Cambria"/>
          <w:bCs/>
          <w:sz w:val="24"/>
          <w:szCs w:val="22"/>
          <w:lang w:val="id-ID"/>
        </w:rPr>
        <w:fldChar w:fldCharType="end"/>
      </w:r>
      <w:r w:rsidR="00593697">
        <w:rPr>
          <w:rFonts w:ascii="Footlight MT Light" w:eastAsia="Cambria" w:hAnsi="Footlight MT Light" w:cs="Cambria"/>
          <w:bCs/>
          <w:sz w:val="24"/>
          <w:szCs w:val="22"/>
          <w:lang w:val="id-ID"/>
        </w:rPr>
        <w:t>.</w:t>
      </w:r>
    </w:p>
    <w:p w14:paraId="0B548FB2" w14:textId="77777777" w:rsid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045649">
        <w:rPr>
          <w:rFonts w:ascii="Footlight MT Light" w:eastAsia="Cambria" w:hAnsi="Footlight MT Light" w:cs="Cambria"/>
          <w:bCs/>
          <w:sz w:val="24"/>
          <w:szCs w:val="22"/>
          <w:lang w:val="id-ID"/>
        </w:rPr>
        <w:t>Kejahatan judi online tidak hanya menjadi masalah nasional tetapi juga menunjukkan tren yang mengkhawatirkan di tingkat regional, termasuk di wilayah Provinsi Sulawesi Selatan. Provinsi ini, sebagai salah satu pusat ekonomi dan pendidikan di kawasan Indonesia Timur, mengalami peningkatan kasus judi online yang signifikan sejak tahun 2020 hingga 2025. Data menunjukkan bahwa Sulawesi Selatan menjadi salah satu provinsi dengan tingkat prevalensi judi online tertinggi di luar Pulau Jawa.</w:t>
      </w:r>
      <w:r w:rsidR="00593697">
        <w:rPr>
          <w:rFonts w:ascii="Footlight MT Light" w:eastAsia="Cambria" w:hAnsi="Footlight MT Light" w:cs="Cambria"/>
          <w:bCs/>
          <w:sz w:val="24"/>
          <w:szCs w:val="22"/>
          <w:lang w:val="id-ID"/>
        </w:rPr>
        <w:t xml:space="preserve"> </w:t>
      </w:r>
      <w:r w:rsidRPr="00045649">
        <w:rPr>
          <w:rFonts w:ascii="Footlight MT Light" w:eastAsia="Cambria" w:hAnsi="Footlight MT Light" w:cs="Cambria"/>
          <w:bCs/>
          <w:sz w:val="24"/>
          <w:szCs w:val="22"/>
          <w:lang w:val="id-ID"/>
        </w:rPr>
        <w:fldChar w:fldCharType="begin" w:fldLock="1"/>
      </w:r>
      <w:r w:rsidRPr="00045649">
        <w:rPr>
          <w:rFonts w:ascii="Footlight MT Light" w:eastAsia="Cambria" w:hAnsi="Footlight MT Light" w:cs="Cambria"/>
          <w:bCs/>
          <w:sz w:val="24"/>
          <w:szCs w:val="22"/>
          <w:lang w:val="id-ID"/>
        </w:rPr>
        <w:instrText>ADDIN CSL_CITATION {"citationItems":[{"id":"ITEM-1","itemData":{"URL":"https://makassar.antaranews.com/berita/544680/pemerintah-ungkap-lima-provinsi-dengan-jumlah-penjudi-online-terbanyak","author":[{"dropping-particle":"","family":"Tri Meilani Ameliya","given":"","non-dropping-particle":"","parse-names":false,"suffix":""}],"container-title":"ANTARA","id":"ITEM-1","issued":{"date-parts":[["2024"]]},"title":"Pemerintah ungkap lima provinsi dengan jumlah penjudi online terbanyak","type":"webpage"},"uris":["http://www.mendeley.com/documents/?uuid=4d4ec471-701a-4a23-a054-48f8adf847d8"]}],"mendeley":{"formattedCitation":"(Tri Meilani Ameliya, 2024)","plainTextFormattedCitation":"(Tri Meilani Ameliya, 2024)","previouslyFormattedCitation":"(Tri Meilani Ameliya, 2024)"},"properties":{"noteIndex":0},"schema":"https://github.com/citation-style-language/schema/raw/master/csl-citation.json"}</w:instrText>
      </w:r>
      <w:r w:rsidRPr="00045649">
        <w:rPr>
          <w:rFonts w:ascii="Footlight MT Light" w:eastAsia="Cambria" w:hAnsi="Footlight MT Light" w:cs="Cambria"/>
          <w:bCs/>
          <w:sz w:val="24"/>
          <w:szCs w:val="22"/>
          <w:lang w:val="id-ID"/>
        </w:rPr>
        <w:fldChar w:fldCharType="separate"/>
      </w:r>
      <w:r w:rsidRPr="00045649">
        <w:rPr>
          <w:rFonts w:ascii="Footlight MT Light" w:eastAsia="Cambria" w:hAnsi="Footlight MT Light" w:cs="Cambria"/>
          <w:bCs/>
          <w:noProof/>
          <w:sz w:val="24"/>
          <w:szCs w:val="22"/>
          <w:lang w:val="id-ID"/>
        </w:rPr>
        <w:t>(Tri Meilani Ameliya, 2024)</w:t>
      </w:r>
      <w:r w:rsidRPr="00045649">
        <w:rPr>
          <w:rFonts w:ascii="Footlight MT Light" w:eastAsia="Cambria" w:hAnsi="Footlight MT Light" w:cs="Cambria"/>
          <w:bCs/>
          <w:sz w:val="24"/>
          <w:szCs w:val="22"/>
          <w:lang w:val="id-ID"/>
        </w:rPr>
        <w:fldChar w:fldCharType="end"/>
      </w:r>
      <w:r w:rsidR="00593697">
        <w:rPr>
          <w:rFonts w:ascii="Footlight MT Light" w:eastAsia="Cambria" w:hAnsi="Footlight MT Light" w:cs="Cambria"/>
          <w:bCs/>
          <w:sz w:val="24"/>
          <w:szCs w:val="22"/>
          <w:lang w:val="id-ID"/>
        </w:rPr>
        <w:t xml:space="preserve"> </w:t>
      </w:r>
      <w:r w:rsidRPr="00045649">
        <w:rPr>
          <w:rFonts w:ascii="Footlight MT Light" w:eastAsia="Cambria" w:hAnsi="Footlight MT Light" w:cs="Cambria"/>
          <w:bCs/>
          <w:sz w:val="24"/>
          <w:szCs w:val="22"/>
          <w:lang w:val="id-ID"/>
        </w:rPr>
        <w:t>judi online yang paling sering terjadi di wilayah ini. Modus yang paling sering ditemukan melibatkan penggunaan chip game online seperti Higgs Domino serta promosi judi online melalui media sosial. Para pelaku juga memanfaatkan rekening pinjaman dan dompet digital anonim untuk menyamarkan aliran transaksi keuangan.</w:t>
      </w:r>
      <w:r w:rsidR="00593697">
        <w:rPr>
          <w:rFonts w:ascii="Footlight MT Light" w:eastAsia="Cambria" w:hAnsi="Footlight MT Light" w:cs="Cambria"/>
          <w:bCs/>
          <w:sz w:val="24"/>
          <w:szCs w:val="22"/>
          <w:lang w:val="id-ID"/>
        </w:rPr>
        <w:t xml:space="preserve"> </w:t>
      </w:r>
      <w:r w:rsidRPr="00045649">
        <w:rPr>
          <w:rFonts w:ascii="Footlight MT Light" w:eastAsia="Cambria" w:hAnsi="Footlight MT Light" w:cs="Cambria"/>
          <w:bCs/>
          <w:sz w:val="24"/>
          <w:szCs w:val="22"/>
          <w:lang w:val="id-ID"/>
        </w:rPr>
        <w:t>Selain itu, teridentifikasi adanya pola adaptif baru, di mana jaringan pelaku mulai menggunakan VPN luar negeri dan aplikasi pesan terenkripsi guna menghindari deteksi aparat. Fenomena ini menunjukkan bahwa kejahatan siber terkait judi online semakin terorganisir dan menuntut adanya peningkatan kompetensi digital di kalangan aparat penegak hukum agar mampu merespons ancaman tersebut secara efektif.</w:t>
      </w:r>
    </w:p>
    <w:p w14:paraId="6FF9B146" w14:textId="77777777" w:rsid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045649">
        <w:rPr>
          <w:rFonts w:ascii="Footlight MT Light" w:eastAsia="Cambria" w:hAnsi="Footlight MT Light" w:cs="Cambria"/>
          <w:bCs/>
          <w:sz w:val="24"/>
          <w:szCs w:val="22"/>
          <w:lang w:val="id-ID"/>
        </w:rPr>
        <w:t>Modus operandi yang sering digunakan oleh pelaku judi online di Sulawesi Selatan antara lain melalui situs web yang diblokir namun dapat diakses menggunakan VPN, aplikasi mobile yang tersedia di platform distribusi pihak ketiga, serta media sosial seperti Facebook dan Instagram yang digunakan untuk promosi dan transaksi. Selain itu, banyak juga kasus judi online yang melibatkan penjualan chip atau koin virtual yang dapat dikonversi menjadi uang tunai, seperti yang diungkap oleh Polda Sulsel dalam beberapa operasi penegakan hukum.</w:t>
      </w:r>
      <w:r w:rsidRPr="00045649">
        <w:rPr>
          <w:rFonts w:ascii="Footlight MT Light" w:eastAsia="Cambria" w:hAnsi="Footlight MT Light" w:cs="Cambria"/>
          <w:bCs/>
          <w:sz w:val="24"/>
          <w:szCs w:val="22"/>
          <w:lang w:val="id-ID"/>
        </w:rPr>
        <w:fldChar w:fldCharType="begin" w:fldLock="1"/>
      </w:r>
      <w:r w:rsidRPr="00045649">
        <w:rPr>
          <w:rFonts w:ascii="Footlight MT Light" w:eastAsia="Cambria" w:hAnsi="Footlight MT Light" w:cs="Cambria"/>
          <w:bCs/>
          <w:sz w:val="24"/>
          <w:szCs w:val="22"/>
          <w:lang w:val="id-ID"/>
        </w:rPr>
        <w:instrText>ADDIN CSL_CITATION {"citationItems":[{"id":"ITEM-1","itemData":{"author":[{"dropping-particle":"","family":"Samsir","given":"","non-dropping-particle":"","parse-names":false,"suffix":""}],"id":"ITEM-1","issued":{"date-parts":[["2024"]]},"title":"Polda Sulsel Ungkap Kasus Judi Online, Modus Endorsement Hingga Jual Beli Chip","type":"webpage"},"uris":["http://www.mendeley.com/documents/?uuid=d318ffa8-2d95-45e0-bbbd-fd29d83d9bc0"]}],"mendeley":{"formattedCitation":"(Samsir, 2024)","plainTextFormattedCitation":"(Samsir, 2024)","previouslyFormattedCitation":"(Samsir, 2024)"},"properties":{"noteIndex":0},"schema":"https://github.com/citation-style-language/schema/raw/master/csl-citation.json"}</w:instrText>
      </w:r>
      <w:r w:rsidRPr="00045649">
        <w:rPr>
          <w:rFonts w:ascii="Footlight MT Light" w:eastAsia="Cambria" w:hAnsi="Footlight MT Light" w:cs="Cambria"/>
          <w:bCs/>
          <w:sz w:val="24"/>
          <w:szCs w:val="22"/>
          <w:lang w:val="id-ID"/>
        </w:rPr>
        <w:fldChar w:fldCharType="separate"/>
      </w:r>
      <w:r w:rsidRPr="00045649">
        <w:rPr>
          <w:rFonts w:ascii="Footlight MT Light" w:eastAsia="Cambria" w:hAnsi="Footlight MT Light" w:cs="Cambria"/>
          <w:bCs/>
          <w:noProof/>
          <w:sz w:val="24"/>
          <w:szCs w:val="22"/>
          <w:lang w:val="id-ID"/>
        </w:rPr>
        <w:t>(Samsir, 2024)</w:t>
      </w:r>
      <w:r w:rsidRPr="00045649">
        <w:rPr>
          <w:rFonts w:ascii="Footlight MT Light" w:eastAsia="Cambria" w:hAnsi="Footlight MT Light" w:cs="Cambria"/>
          <w:bCs/>
          <w:sz w:val="24"/>
          <w:szCs w:val="22"/>
          <w:lang w:val="id-ID"/>
        </w:rPr>
        <w:fldChar w:fldCharType="end"/>
      </w:r>
      <w:r w:rsidR="00593697">
        <w:rPr>
          <w:rFonts w:ascii="Footlight MT Light" w:eastAsia="Cambria" w:hAnsi="Footlight MT Light" w:cs="Cambria"/>
          <w:bCs/>
          <w:sz w:val="24"/>
          <w:szCs w:val="22"/>
          <w:lang w:val="id-ID"/>
        </w:rPr>
        <w:t xml:space="preserve">. </w:t>
      </w:r>
      <w:r w:rsidRPr="00045649">
        <w:rPr>
          <w:rFonts w:ascii="Footlight MT Light" w:eastAsia="Cambria" w:hAnsi="Footlight MT Light" w:cs="Cambria"/>
          <w:bCs/>
          <w:sz w:val="24"/>
          <w:szCs w:val="22"/>
          <w:lang w:val="id-ID"/>
        </w:rPr>
        <w:t>Secara kualitatif, pola ini mengindikasikan bahwa upaya penegakan hukum yang bersifat reaktif dan sporadis belum mampu memberikan dampak jangka panjang dalam menekan angka kasus judi online. Setiap kali operasi penegakan hukum diintensifkan, terjadi penurunan sementara jumlah kasus, namun tidak lama kemudian kembali meningkat dengan modus operandi yang lebih canggih dan sulit dideteksi.</w:t>
      </w:r>
      <w:r w:rsidRPr="00045649">
        <w:rPr>
          <w:rFonts w:ascii="Footlight MT Light" w:eastAsia="Cambria" w:hAnsi="Footlight MT Light" w:cs="Cambria"/>
          <w:bCs/>
          <w:sz w:val="24"/>
          <w:szCs w:val="22"/>
          <w:lang w:val="id-ID"/>
        </w:rPr>
        <w:fldChar w:fldCharType="begin" w:fldLock="1"/>
      </w:r>
      <w:r w:rsidRPr="00045649">
        <w:rPr>
          <w:rFonts w:ascii="Footlight MT Light" w:eastAsia="Cambria" w:hAnsi="Footlight MT Light" w:cs="Cambria"/>
          <w:bCs/>
          <w:sz w:val="24"/>
          <w:szCs w:val="22"/>
          <w:lang w:val="id-ID"/>
        </w:rPr>
        <w:instrText>ADDIN CSL_CITATION {"citationItems":[{"id":"ITEM-1","itemData":{"author":[{"dropping-particle":"","family":"Rosid","given":"Abdur","non-dropping-particle":"","parse-names":false,"suffix":""}],"id":"ITEM-1","issued":{"date-parts":[["2024"]]},"publisher":"UIN Siber Syekh Nurjati","title":"PENEGAKAN HUKUM PIDANA PADA PRAKTIK JUDI ONLINE DI CIREBON.","type":"article"},"uris":["http://www.mendeley.com/documents/?uuid=8093205e-ba35-4ed8-ae09-39bf294eeb3c"]}],"mendeley":{"formattedCitation":"(Rosid, 2024)","plainTextFormattedCitation":"(Rosid, 2024)","previouslyFormattedCitation":"(Rosid, 2024)"},"properties":{"noteIndex":0},"schema":"https://github.com/citation-style-language/schema/raw/master/csl-citation.json"}</w:instrText>
      </w:r>
      <w:r w:rsidRPr="00045649">
        <w:rPr>
          <w:rFonts w:ascii="Footlight MT Light" w:eastAsia="Cambria" w:hAnsi="Footlight MT Light" w:cs="Cambria"/>
          <w:bCs/>
          <w:sz w:val="24"/>
          <w:szCs w:val="22"/>
          <w:lang w:val="id-ID"/>
        </w:rPr>
        <w:fldChar w:fldCharType="separate"/>
      </w:r>
      <w:r w:rsidRPr="00045649">
        <w:rPr>
          <w:rFonts w:ascii="Footlight MT Light" w:eastAsia="Cambria" w:hAnsi="Footlight MT Light" w:cs="Cambria"/>
          <w:bCs/>
          <w:noProof/>
          <w:sz w:val="24"/>
          <w:szCs w:val="22"/>
          <w:lang w:val="id-ID"/>
        </w:rPr>
        <w:t>(Rosid, 2024)</w:t>
      </w:r>
      <w:r w:rsidRPr="00045649">
        <w:rPr>
          <w:rFonts w:ascii="Footlight MT Light" w:eastAsia="Cambria" w:hAnsi="Footlight MT Light" w:cs="Cambria"/>
          <w:bCs/>
          <w:sz w:val="24"/>
          <w:szCs w:val="22"/>
          <w:lang w:val="id-ID"/>
        </w:rPr>
        <w:fldChar w:fldCharType="end"/>
      </w:r>
      <w:r w:rsidR="00593697">
        <w:rPr>
          <w:rFonts w:ascii="Footlight MT Light" w:eastAsia="Cambria" w:hAnsi="Footlight MT Light" w:cs="Cambria"/>
          <w:bCs/>
          <w:sz w:val="24"/>
          <w:szCs w:val="22"/>
          <w:lang w:val="id-ID"/>
        </w:rPr>
        <w:t>.</w:t>
      </w:r>
    </w:p>
    <w:p w14:paraId="461C899E" w14:textId="77777777" w:rsid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045649">
        <w:rPr>
          <w:rFonts w:ascii="Footlight MT Light" w:eastAsia="Cambria" w:hAnsi="Footlight MT Light" w:cs="Cambria"/>
          <w:bCs/>
          <w:sz w:val="24"/>
          <w:szCs w:val="22"/>
          <w:lang w:val="id-ID"/>
        </w:rPr>
        <w:t>Analisis musiman juga menunjukkan adanya pola tertentu dalam kasus judi online. Biasanya terjadi peningkatan kasus pada triwulan kedua dan keempat setiap tahunnya, yang bertepatan dengan libur panjang (Lebaran dan Natal/Tahun Baru). Pada periode ini, masyarakat memiliki lebih banyak waktu luang dan seringkali menerima bonus atau THR (Tunjangan Hari Raya) yang kemudian digunakan untuk berjudi online.</w:t>
      </w:r>
      <w:r w:rsidRPr="00045649">
        <w:rPr>
          <w:rFonts w:ascii="Footlight MT Light" w:eastAsia="Cambria" w:hAnsi="Footlight MT Light" w:cs="Cambria"/>
          <w:bCs/>
          <w:sz w:val="24"/>
          <w:szCs w:val="22"/>
          <w:lang w:val="id-ID"/>
        </w:rPr>
        <w:fldChar w:fldCharType="begin" w:fldLock="1"/>
      </w:r>
      <w:r w:rsidRPr="00045649">
        <w:rPr>
          <w:rFonts w:ascii="Footlight MT Light" w:eastAsia="Cambria" w:hAnsi="Footlight MT Light" w:cs="Cambria"/>
          <w:bCs/>
          <w:sz w:val="24"/>
          <w:szCs w:val="22"/>
          <w:lang w:val="id-ID"/>
        </w:rPr>
        <w:instrText>ADDIN CSL_CITATION {"citationItems":[{"id":"ITEM-1","itemData":{"author":[{"dropping-particle":"","family":"Harahap","given":"Fadilah Fitria","non-dropping-particle":"","parse-names":false,"suffix":""},{"dropping-particle":"","family":"Utami","given":"Onik Wahyu","non-dropping-particle":"","parse-names":false,"suffix":""},{"dropping-particle":"","family":"Pertiwi","given":"Yuarini Wahyu","non-dropping-particle":"","parse-names":false,"suffix":""}],"container-title":"Well Being: Journal Psychology","id":"ITEM-1","issue":"2","issued":{"date-parts":[["2024"]]},"page":"1-11","title":"Motivasi Dalam Partisipasi Perjudian Online","type":"article-journal","volume":"1"},"uris":["http://www.mendeley.com/documents/?uuid=774c46a5-55d6-4ecd-b011-d10a5a0ac80c"]}],"mendeley":{"formattedCitation":"(Harahap et al., 2024)","plainTextFormattedCitation":"(Harahap et al., 2024)","previouslyFormattedCitation":"(Harahap et al., 2024)"},"properties":{"noteIndex":0},"schema":"https://github.com/citation-style-language/schema/raw/master/csl-citation.json"}</w:instrText>
      </w:r>
      <w:r w:rsidRPr="00045649">
        <w:rPr>
          <w:rFonts w:ascii="Footlight MT Light" w:eastAsia="Cambria" w:hAnsi="Footlight MT Light" w:cs="Cambria"/>
          <w:bCs/>
          <w:sz w:val="24"/>
          <w:szCs w:val="22"/>
          <w:lang w:val="id-ID"/>
        </w:rPr>
        <w:fldChar w:fldCharType="separate"/>
      </w:r>
      <w:r w:rsidRPr="00045649">
        <w:rPr>
          <w:rFonts w:ascii="Footlight MT Light" w:eastAsia="Cambria" w:hAnsi="Footlight MT Light" w:cs="Cambria"/>
          <w:bCs/>
          <w:noProof/>
          <w:sz w:val="24"/>
          <w:szCs w:val="22"/>
          <w:lang w:val="id-ID"/>
        </w:rPr>
        <w:t>(Harahap et al., 2024)</w:t>
      </w:r>
      <w:r w:rsidRPr="00045649">
        <w:rPr>
          <w:rFonts w:ascii="Footlight MT Light" w:eastAsia="Cambria" w:hAnsi="Footlight MT Light" w:cs="Cambria"/>
          <w:bCs/>
          <w:sz w:val="24"/>
          <w:szCs w:val="22"/>
          <w:lang w:val="id-ID"/>
        </w:rPr>
        <w:fldChar w:fldCharType="end"/>
      </w:r>
      <w:r w:rsidR="00593697">
        <w:rPr>
          <w:rFonts w:ascii="Footlight MT Light" w:eastAsia="Cambria" w:hAnsi="Footlight MT Light" w:cs="Cambria"/>
          <w:bCs/>
          <w:sz w:val="24"/>
          <w:szCs w:val="22"/>
          <w:lang w:val="id-ID"/>
        </w:rPr>
        <w:t xml:space="preserve">. </w:t>
      </w:r>
      <w:r w:rsidRPr="00045649">
        <w:rPr>
          <w:rFonts w:ascii="Footlight MT Light" w:eastAsia="Cambria" w:hAnsi="Footlight MT Light" w:cs="Cambria"/>
          <w:bCs/>
          <w:sz w:val="24"/>
          <w:szCs w:val="22"/>
          <w:lang w:val="id-ID"/>
        </w:rPr>
        <w:t xml:space="preserve">Analisis demografi pelaku judi online di Sulawesi Selatan menunjukkan beberapa pola yang menonjol. Berdasarkan data dari Polda Sulsel, kelompok usia 18-30 tahun merupakan kelompok yang paling dominan sebagai pelaku judi online, mencapai 62% dari total kasus. Kelompok usia 31-45 tahun menyumbang 28%, sementara kelompok usia di atas 45 tahun hanya sekitar 10%. Sedangkan dari segi jenis kelamin, pria mendominasi sebagai pelaku judi online dengan persentase 87%, sementara perempuan hanya 13%. Namun, menarik untuk dicatat bahwa persentase perempuan sebagai pelaku judi online cenderung meningkat dari tahun ke tahun, dari hanya 5% pada tahun 2020 menjadi 13% pada </w:t>
      </w:r>
      <w:r w:rsidRPr="00045649">
        <w:rPr>
          <w:rFonts w:ascii="Footlight MT Light" w:eastAsia="Cambria" w:hAnsi="Footlight MT Light" w:cs="Cambria"/>
          <w:bCs/>
          <w:sz w:val="24"/>
          <w:szCs w:val="22"/>
          <w:lang w:val="id-ID"/>
        </w:rPr>
        <w:lastRenderedPageBreak/>
        <w:t>tahun 2025. Hal ini mengindikasikan bahwa judi online tidak lagi menjadi domain eksklusif pria, tetapi juga mulai menarik minat perempuan.</w:t>
      </w:r>
    </w:p>
    <w:p w14:paraId="5CAFC185" w14:textId="77777777" w:rsid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045649">
        <w:rPr>
          <w:rFonts w:ascii="Footlight MT Light" w:eastAsia="Cambria" w:hAnsi="Footlight MT Light" w:cs="Cambria"/>
          <w:bCs/>
          <w:sz w:val="24"/>
          <w:szCs w:val="22"/>
          <w:lang w:val="id-ID"/>
        </w:rPr>
        <w:t>Dari segi latar belakang sosial ekonomi, pola yang menarik adalah bahwa pelaku judi online di Sulawesi Selatan berasal dari berbagai latar belakang ekonomi. Sekitar 45% pelaku berasal dari keluarga dengan pendapatan menengah ke bawah, 35% dari keluarga menengah, dan 20% dari keluarga menengah ke atas. Data ini mengindikasikan bahwa judi online tidak hanya menjadi masalah bagi masyarakat ekonomi bawah yang mencari jalan pintas untuk kaya, tetapi juga telah menjadi fenomena lintas kelas sosial.</w:t>
      </w:r>
      <w:r w:rsidR="00593697">
        <w:rPr>
          <w:rFonts w:ascii="Footlight MT Light" w:eastAsia="Cambria" w:hAnsi="Footlight MT Light" w:cs="Cambria"/>
          <w:bCs/>
          <w:sz w:val="24"/>
          <w:szCs w:val="22"/>
          <w:lang w:val="id-ID"/>
        </w:rPr>
        <w:t xml:space="preserve"> </w:t>
      </w:r>
      <w:r w:rsidRPr="00045649">
        <w:rPr>
          <w:rFonts w:ascii="Footlight MT Light" w:eastAsia="Cambria" w:hAnsi="Footlight MT Light" w:cs="Cambria"/>
          <w:bCs/>
          <w:sz w:val="24"/>
          <w:szCs w:val="22"/>
          <w:lang w:val="id-ID"/>
        </w:rPr>
        <w:t>Dari segi pendidikan, sekitar 58% pelaku judi online memiliki latar belakang pendidikan SMA/sederajat, 32% lulusan perguruan tinggi, dan 10% SMP ke bawah. Data ini menunjukkan bahwa judi online telah menjangkau berbagai tingkat pendidikan, bahkan mereka yang memiliki pendidikan tinggi sekalipun.</w:t>
      </w:r>
      <w:r w:rsidR="00593697">
        <w:rPr>
          <w:rFonts w:ascii="Footlight MT Light" w:eastAsia="Cambria" w:hAnsi="Footlight MT Light" w:cs="Cambria"/>
          <w:bCs/>
          <w:sz w:val="24"/>
          <w:szCs w:val="22"/>
          <w:lang w:val="id-ID"/>
        </w:rPr>
        <w:t xml:space="preserve"> </w:t>
      </w:r>
      <w:r w:rsidRPr="00045649">
        <w:rPr>
          <w:rFonts w:ascii="Footlight MT Light" w:eastAsia="Cambria" w:hAnsi="Footlight MT Light" w:cs="Cambria"/>
          <w:bCs/>
          <w:sz w:val="24"/>
          <w:szCs w:val="22"/>
          <w:lang w:val="id-ID"/>
        </w:rPr>
        <w:t>Analisis pola waktu terjadinya tindak pidana judi online di Sulawesi Selatan menunjukkan kecenderungan yang cukup jelas. Berdasarkan data dari Polda Sulsel, sekitar 65% aktivitas judi online terjadi pada malam hari antara pukul 20.00 hingga 02.00 WITA. Hal ini sejalan dengan waktu luang setelah jam kerja atau aktivitas sekolah, serta kondisi lingkungan yang lebih kondusif untuk melakukan aktivitas ini secara diam-diam.</w:t>
      </w:r>
    </w:p>
    <w:p w14:paraId="05B8F5AD" w14:textId="5D9FE9F3" w:rsidR="004C3B16" w:rsidRPr="00045649"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045649">
        <w:rPr>
          <w:rFonts w:ascii="Footlight MT Light" w:eastAsia="Cambria" w:hAnsi="Footlight MT Light" w:cs="Cambria"/>
          <w:bCs/>
          <w:sz w:val="24"/>
          <w:szCs w:val="22"/>
          <w:lang w:val="id-ID"/>
        </w:rPr>
        <w:t>Dari segi hari, aktivitas judi online paling banyak terjadi pada akhir pekan (Sabtu dan Minggu) dengan persentase mencapai 48% dari total aktivitas. Hari Senin hingga Jumat menyumbang 52%, dengan puncaknya pada hari Jumat malam. Pola ini mengindikasikan bahwa judi online telah menjadi salah satu bentuk hiburan atau aktivitas pengisi waktu luang bagi sebagian masyarakat.</w:t>
      </w:r>
      <w:r w:rsidRPr="00045649">
        <w:rPr>
          <w:rFonts w:ascii="Footlight MT Light" w:eastAsia="Cambria" w:hAnsi="Footlight MT Light" w:cs="Cambria"/>
          <w:bCs/>
          <w:sz w:val="24"/>
          <w:szCs w:val="22"/>
          <w:lang w:val="id-ID"/>
        </w:rPr>
        <w:fldChar w:fldCharType="begin" w:fldLock="1"/>
      </w:r>
      <w:r w:rsidRPr="00045649">
        <w:rPr>
          <w:rFonts w:ascii="Footlight MT Light" w:eastAsia="Cambria" w:hAnsi="Footlight MT Light" w:cs="Cambria"/>
          <w:bCs/>
          <w:sz w:val="24"/>
          <w:szCs w:val="22"/>
          <w:lang w:val="id-ID"/>
        </w:rPr>
        <w:instrText>ADDIN CSL_CITATION {"citationItems":[{"id":"ITEM-1","itemData":{"URL":"https://www.ppatk.go.id/news/read/1373/gawat-jumlah-fantastis-usia-anak-main-judi-online.html#:~:text=PPATK %7C Pusat Pelaporan dan Analisis Transaksi Keuangan","id":"ITEM-1","issued":{"date-parts":[["2025"]]},"title":"GAWAT! Jumlah Fantastis Usia Anak Main Judi Online","type":"webpage"},"uris":["http://www.mendeley.com/documents/?uuid=a7590169-a034-4839-a333-eed61dbd7abe"]}],"mendeley":{"formattedCitation":"(&lt;i&gt;GAWAT! Jumlah Fantastis Usia Anak Main Judi Online&lt;/i&gt;, 2025)","plainTextFormattedCitation":"(GAWAT! Jumlah Fantastis Usia Anak Main Judi Online, 2025)","previouslyFormattedCitation":"(&lt;i&gt;GAWAT! Jumlah Fantastis Usia Anak Main Judi Online&lt;/i&gt;, 2025)"},"properties":{"noteIndex":0},"schema":"https://github.com/citation-style-language/schema/raw/master/csl-citation.json"}</w:instrText>
      </w:r>
      <w:r w:rsidRPr="00045649">
        <w:rPr>
          <w:rFonts w:ascii="Footlight MT Light" w:eastAsia="Cambria" w:hAnsi="Footlight MT Light" w:cs="Cambria"/>
          <w:bCs/>
          <w:sz w:val="24"/>
          <w:szCs w:val="22"/>
          <w:lang w:val="id-ID"/>
        </w:rPr>
        <w:fldChar w:fldCharType="separate"/>
      </w:r>
      <w:r w:rsidRPr="00045649">
        <w:rPr>
          <w:rFonts w:ascii="Footlight MT Light" w:eastAsia="Cambria" w:hAnsi="Footlight MT Light" w:cs="Cambria"/>
          <w:bCs/>
          <w:noProof/>
          <w:sz w:val="24"/>
          <w:szCs w:val="22"/>
          <w:lang w:val="id-ID"/>
        </w:rPr>
        <w:t>(</w:t>
      </w:r>
      <w:r w:rsidRPr="00045649">
        <w:rPr>
          <w:rFonts w:ascii="Footlight MT Light" w:eastAsia="Cambria" w:hAnsi="Footlight MT Light" w:cs="Cambria"/>
          <w:bCs/>
          <w:i/>
          <w:noProof/>
          <w:sz w:val="24"/>
          <w:szCs w:val="22"/>
          <w:lang w:val="id-ID"/>
        </w:rPr>
        <w:t>GAWAT! Jumlah Fantastis Usia Anak Main Judi Online</w:t>
      </w:r>
      <w:r w:rsidRPr="00045649">
        <w:rPr>
          <w:rFonts w:ascii="Footlight MT Light" w:eastAsia="Cambria" w:hAnsi="Footlight MT Light" w:cs="Cambria"/>
          <w:bCs/>
          <w:noProof/>
          <w:sz w:val="24"/>
          <w:szCs w:val="22"/>
          <w:lang w:val="id-ID"/>
        </w:rPr>
        <w:t>, 2025)</w:t>
      </w:r>
      <w:r w:rsidRPr="00045649">
        <w:rPr>
          <w:rFonts w:ascii="Footlight MT Light" w:eastAsia="Cambria" w:hAnsi="Footlight MT Light" w:cs="Cambria"/>
          <w:bCs/>
          <w:sz w:val="24"/>
          <w:szCs w:val="22"/>
          <w:lang w:val="id-ID"/>
        </w:rPr>
        <w:fldChar w:fldCharType="end"/>
      </w:r>
      <w:r w:rsidR="00593697">
        <w:rPr>
          <w:rFonts w:ascii="Footlight MT Light" w:eastAsia="Cambria" w:hAnsi="Footlight MT Light" w:cs="Cambria"/>
          <w:bCs/>
          <w:sz w:val="24"/>
          <w:szCs w:val="22"/>
          <w:lang w:val="id-ID"/>
        </w:rPr>
        <w:t>.</w:t>
      </w:r>
    </w:p>
    <w:p w14:paraId="23B5A66C" w14:textId="77777777" w:rsidR="004C3B16" w:rsidRPr="00045649" w:rsidRDefault="004C3B16" w:rsidP="004C3B16">
      <w:pPr>
        <w:widowControl w:val="0"/>
        <w:autoSpaceDE w:val="0"/>
        <w:autoSpaceDN w:val="0"/>
        <w:jc w:val="both"/>
        <w:rPr>
          <w:rFonts w:ascii="Footlight MT Light" w:eastAsia="Cambria" w:hAnsi="Footlight MT Light" w:cs="Cambria"/>
          <w:b/>
          <w:bCs/>
          <w:sz w:val="24"/>
          <w:szCs w:val="22"/>
          <w:lang w:val="id-ID"/>
        </w:rPr>
      </w:pPr>
      <w:r w:rsidRPr="00045649">
        <w:rPr>
          <w:rFonts w:ascii="Footlight MT Light" w:eastAsia="Cambria" w:hAnsi="Footlight MT Light" w:cs="Cambria"/>
          <w:b/>
          <w:bCs/>
          <w:sz w:val="24"/>
          <w:szCs w:val="22"/>
          <w:lang w:val="id-ID"/>
        </w:rPr>
        <w:t>Analisis Tafsir Al-Qur’an Terhadap Larangan Perjudian Modern Dalam Konteks Judi Online</w:t>
      </w:r>
    </w:p>
    <w:p w14:paraId="7176F02D" w14:textId="77777777" w:rsid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045649">
        <w:rPr>
          <w:rFonts w:ascii="Footlight MT Light" w:eastAsia="Cambria" w:hAnsi="Footlight MT Light" w:cs="Cambria"/>
          <w:bCs/>
          <w:sz w:val="24"/>
          <w:szCs w:val="22"/>
          <w:lang w:val="id-ID"/>
        </w:rPr>
        <w:tab/>
      </w:r>
      <w:r w:rsidRPr="00593697">
        <w:rPr>
          <w:rFonts w:ascii="Footlight MT Light" w:eastAsia="Cambria" w:hAnsi="Footlight MT Light" w:cs="Cambria"/>
          <w:bCs/>
          <w:sz w:val="24"/>
          <w:szCs w:val="22"/>
          <w:lang w:val="id-ID"/>
        </w:rPr>
        <w:t>Secara etimologis, kata maisir (</w:t>
      </w:r>
      <w:r w:rsidRPr="00593697">
        <w:rPr>
          <w:rFonts w:eastAsia="Cambria"/>
          <w:bCs/>
          <w:sz w:val="24"/>
          <w:szCs w:val="22"/>
          <w:lang w:val="id-ID"/>
        </w:rPr>
        <w:t>الميسر</w:t>
      </w:r>
      <w:r w:rsidRPr="00593697">
        <w:rPr>
          <w:rFonts w:ascii="Footlight MT Light" w:eastAsia="Cambria" w:hAnsi="Footlight MT Light" w:cs="Cambria"/>
          <w:bCs/>
          <w:sz w:val="24"/>
          <w:szCs w:val="22"/>
          <w:lang w:val="id-ID"/>
        </w:rPr>
        <w:t>) berasal dari akar kata yasara yang berarti “mudah” atau “mengalir dengan mudah”. Dalam konteks perjudian, istilah ini merujuk pada aktivitas mendapatkan harta atau keuntungan dengan cara yang mudah tanpa melalui proses kerja yang layak atau usaha yang produktif.(Abror et al., 2025) Al-Qurthubi dalam tafsirnya menjelaskan bahwa maisir disebut demikian karena “seseorang dengan mudah mengambil harta orang lain tanpa ada ganti yang setimpal dan tanpa kerja keras”.</w:t>
      </w:r>
      <w:r w:rsidR="00593697">
        <w:rPr>
          <w:rFonts w:ascii="Footlight MT Light" w:eastAsia="Cambria" w:hAnsi="Footlight MT Light" w:cs="Cambria"/>
          <w:bCs/>
          <w:sz w:val="24"/>
          <w:szCs w:val="22"/>
          <w:lang w:val="id-ID"/>
        </w:rPr>
        <w:t xml:space="preserve"> </w:t>
      </w:r>
      <w:r w:rsidRPr="00593697">
        <w:rPr>
          <w:rFonts w:ascii="Footlight MT Light" w:eastAsia="Cambria" w:hAnsi="Footlight MT Light" w:cs="Cambria"/>
          <w:bCs/>
          <w:sz w:val="24"/>
          <w:szCs w:val="22"/>
          <w:lang w:val="id-ID"/>
        </w:rPr>
        <w:t>Secara terminologis, maisir didefinisikan sebagai setiap bentuk transaksi atau permainan yang mengandalkan unsur ketidakpastian (gharar) dan spekulasi (mukhatharah), di mana salah satu pihak mendapatkan keuntungan atas kerugian pihak lain secara tidak adil dan tanpa alasan yang jelas.(Zulfahmi &amp; Maulana, 2022) Ibnu Qayyim Al-Jauziyyah mendefinisikan maisir sebagai “aktivitas yang mengandalkan keberuntungan semata tanpa ada kerja atau usaha yang nyata, sehingga menyebabkan terjadinya pemindahan harta dari satu pihak ke pihak lain secara tidak adil”.</w:t>
      </w:r>
    </w:p>
    <w:p w14:paraId="6B6B9B41" w14:textId="6648D81F" w:rsid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593697">
        <w:rPr>
          <w:rFonts w:ascii="Footlight MT Light" w:eastAsia="Cambria" w:hAnsi="Footlight MT Light" w:cs="Cambria"/>
          <w:bCs/>
          <w:sz w:val="24"/>
          <w:szCs w:val="22"/>
          <w:lang w:val="id-ID"/>
        </w:rPr>
        <w:t>Dalam hadis, Rasulullah SAW memberikan definisi praktis tentang maisir melalui contoh-contoh yang terjadi pada masa itu, seperti permainan dadu (azhar), taruhan pada unta (maysir al-ibil), dan berbagai bentuk perjudian lainnya yang lazim pada masa jahiliyah. Hadis riwayat Bukhari dan Muslim menyebutkan: “Barangsiapa yang berkata kepada temannya: marilah kita bermain (berjudi), maka hendaklah dia bersedekah” (HR. Bukhari-Muslim). Hadis ini menunjukkan bahwa aktivitas perjudian dianggap sebagai dosa yang memerlukan penebusan melalui sedekah.</w:t>
      </w:r>
      <w:r w:rsidR="00593697">
        <w:rPr>
          <w:rFonts w:ascii="Footlight MT Light" w:eastAsia="Cambria" w:hAnsi="Footlight MT Light" w:cs="Cambria"/>
          <w:bCs/>
          <w:sz w:val="24"/>
          <w:szCs w:val="22"/>
          <w:lang w:val="id-ID"/>
        </w:rPr>
        <w:t xml:space="preserve"> </w:t>
      </w:r>
      <w:r w:rsidRPr="00593697">
        <w:rPr>
          <w:rFonts w:ascii="Footlight MT Light" w:eastAsia="Cambria" w:hAnsi="Footlight MT Light" w:cs="Cambria"/>
          <w:bCs/>
          <w:sz w:val="24"/>
          <w:szCs w:val="22"/>
          <w:lang w:val="id-ID"/>
        </w:rPr>
        <w:t>Al-Qur’an secara tegas melarang praktik maisir dalam beberapa ayat, terutama dalam Surah Al-Baqarah ayat 219 dan Surah Al-Maidah ayat 90-91. Ayat-ayat ini tidak hanya memberikan larangan, tetapi juga menjelaskan dampak negatif dan kerusakan yang ditimbulkan oleh praktik perjudian.</w:t>
      </w:r>
      <w:r w:rsidRPr="00593697">
        <w:rPr>
          <w:rFonts w:ascii="Footlight MT Light" w:eastAsia="Cambria" w:hAnsi="Footlight MT Light" w:cs="Cambria"/>
          <w:bCs/>
          <w:sz w:val="24"/>
          <w:szCs w:val="22"/>
          <w:lang w:val="id-ID"/>
        </w:rPr>
        <w:fldChar w:fldCharType="begin" w:fldLock="1"/>
      </w:r>
      <w:r w:rsidRPr="00593697">
        <w:rPr>
          <w:rFonts w:ascii="Footlight MT Light" w:eastAsia="Cambria" w:hAnsi="Footlight MT Light" w:cs="Cambria"/>
          <w:bCs/>
          <w:sz w:val="24"/>
          <w:szCs w:val="22"/>
          <w:lang w:val="id-ID"/>
        </w:rPr>
        <w:instrText>ADDIN CSL_CITATION {"citationItems":[{"id":"ITEM-1","itemData":{"ISSN":"2807-4238","author":[{"dropping-particle":"","family":"Rahmah","given":"Nuzulliah","non-dropping-particle":"","parse-names":false,"suffix":""},{"dropping-particle":"","family":"Tarigan","given":"Azhari Akmal","non-dropping-particle":"","parse-names":false,"suffix":""},{"dropping-particle":"","family":"Nasution","given":"Yenni Samri Juliati","non-dropping-particle":"","parse-names":false,"suffix":""}],"container-title":"Innovative: Journal of Social Science Research","id":"ITEM-1","issue":"1","issued":{"date-parts":[["2024"]]},"page":"9956-9967","title":"Larangan Jual Beli Dalam Perspektif Qur’an Surah Al Maidah Ayat 90-91","type":"article-journal","volume":"4"},"uris":["http://www.mendeley.com/documents/?uuid=a552a456-66ac-4ce7-8813-80b164984294"]}],"mendeley":{"formattedCitation":"(Rahmah et al., 2024)","plainTextFormattedCitation":"(Rahmah et al., 2024)","previouslyFormattedCitation":"(Rahmah et al., 2024)"},"properties":{"noteIndex":0},"schema":"https://github.com/citation-style-language/schema/raw/master/csl-citation.json"}</w:instrText>
      </w:r>
      <w:r w:rsidRPr="00593697">
        <w:rPr>
          <w:rFonts w:ascii="Footlight MT Light" w:eastAsia="Cambria" w:hAnsi="Footlight MT Light" w:cs="Cambria"/>
          <w:bCs/>
          <w:sz w:val="24"/>
          <w:szCs w:val="22"/>
          <w:lang w:val="id-ID"/>
        </w:rPr>
        <w:fldChar w:fldCharType="separate"/>
      </w:r>
      <w:r w:rsidRPr="00593697">
        <w:rPr>
          <w:rFonts w:ascii="Footlight MT Light" w:eastAsia="Cambria" w:hAnsi="Footlight MT Light" w:cs="Cambria"/>
          <w:bCs/>
          <w:noProof/>
          <w:sz w:val="24"/>
          <w:szCs w:val="22"/>
          <w:lang w:val="id-ID"/>
        </w:rPr>
        <w:t>(Rahmah et al., 2024)</w:t>
      </w:r>
      <w:r w:rsidRPr="00593697">
        <w:rPr>
          <w:rFonts w:ascii="Footlight MT Light" w:eastAsia="Cambria" w:hAnsi="Footlight MT Light" w:cs="Cambria"/>
          <w:bCs/>
          <w:sz w:val="24"/>
          <w:szCs w:val="22"/>
          <w:lang w:val="id-ID"/>
        </w:rPr>
        <w:fldChar w:fldCharType="end"/>
      </w:r>
      <w:r w:rsidR="00593697">
        <w:rPr>
          <w:rFonts w:ascii="Footlight MT Light" w:eastAsia="Cambria" w:hAnsi="Footlight MT Light" w:cs="Cambria"/>
          <w:bCs/>
          <w:sz w:val="24"/>
          <w:szCs w:val="22"/>
          <w:lang w:val="id-ID"/>
        </w:rPr>
        <w:t xml:space="preserve">. </w:t>
      </w:r>
      <w:r w:rsidRPr="00593697">
        <w:rPr>
          <w:rFonts w:ascii="Footlight MT Light" w:eastAsia="Cambria" w:hAnsi="Footlight MT Light" w:cs="Cambria"/>
          <w:bCs/>
          <w:sz w:val="24"/>
          <w:szCs w:val="22"/>
          <w:lang w:val="id-ID"/>
        </w:rPr>
        <w:t>Al-Qur’an secara jelas dan tegas melarang praktik judi (maisir) dalam beberapa ayat, terutama Surah Al-Baqarah ayat 219 dan Surah Al-Maidah ayat 90-91. Kedua ayat ini memberikan landasan teologis yang kuat bagi larangan judi dalam Islam sekaligus menjelaskan filosofi di balik larangan tersebut. Analisis mendalam terhadap ayat-ayat ini sangat penting untuk memahami esensi larangan judi dan relevansinya dengan fenomena judi online modern</w:t>
      </w:r>
      <w:r w:rsidR="00593697">
        <w:rPr>
          <w:rFonts w:ascii="Footlight MT Light" w:eastAsia="Cambria" w:hAnsi="Footlight MT Light" w:cs="Cambria"/>
          <w:bCs/>
          <w:sz w:val="24"/>
          <w:szCs w:val="22"/>
          <w:lang w:val="id-ID"/>
        </w:rPr>
        <w:t xml:space="preserve"> </w:t>
      </w:r>
      <w:r w:rsidRPr="00593697">
        <w:rPr>
          <w:rFonts w:ascii="Footlight MT Light" w:eastAsia="Cambria" w:hAnsi="Footlight MT Light" w:cs="Cambria"/>
          <w:bCs/>
          <w:sz w:val="24"/>
          <w:szCs w:val="22"/>
          <w:lang w:val="id-ID"/>
        </w:rPr>
        <w:fldChar w:fldCharType="begin" w:fldLock="1"/>
      </w:r>
      <w:r w:rsidRPr="00593697">
        <w:rPr>
          <w:rFonts w:ascii="Footlight MT Light" w:eastAsia="Cambria" w:hAnsi="Footlight MT Light" w:cs="Cambria"/>
          <w:bCs/>
          <w:sz w:val="24"/>
          <w:szCs w:val="22"/>
          <w:lang w:val="id-ID"/>
        </w:rPr>
        <w:instrText>ADDIN CSL_CITATION {"citationItems":[{"id":"ITEM-1","itemData":{"ISSN":"2722-8983","author":[{"dropping-particle":"","family":"Salim","given":"Fadli","non-dropping-particle":"","parse-names":false,"suffix":""},{"dropping-particle":"","family":"Andito","given":"Muhammad Sasri","non-dropping-particle":"","parse-names":false,"suffix":""},{"dropping-particle":"","family":"Hanif","given":"Muhammad","non-dropping-particle":"","parse-names":false,"suffix":""},{"dropping-particle":"","family":"Efendi","given":"Ahmad Abdul Aziz","non-dropping-particle":"","parse-names":false,"suffix":""}],"container-title":"Hamalatul Qur'an: Jurnal Ilmu Ilmu Alqur'an","id":"ITEM-1","issue":"1","issued":{"date-parts":[["2025"]]},"page":"107-120","title":"Bentuk Perkembangan dan Penafsiran Judi dalam Pandangan Al-Baqarah 219 dan Al-Maidah 90-91","type":"article-journal","volume":"6"},"uris":["http://www.mendeley.com/documents/?uuid=aebf17b2-65dd-455b-a417-db3cc8528d45"]}],"mendeley":{"formattedCitation":"(Salim et al., 2025)","plainTextFormattedCitation":"(Salim et al., 2025)","previouslyFormattedCitation":"(Salim et al., 2025)"},"properties":{"noteIndex":0},"schema":"https://github.com/citation-style-language/schema/raw/master/csl-citation.json"}</w:instrText>
      </w:r>
      <w:r w:rsidRPr="00593697">
        <w:rPr>
          <w:rFonts w:ascii="Footlight MT Light" w:eastAsia="Cambria" w:hAnsi="Footlight MT Light" w:cs="Cambria"/>
          <w:bCs/>
          <w:sz w:val="24"/>
          <w:szCs w:val="22"/>
          <w:lang w:val="id-ID"/>
        </w:rPr>
        <w:fldChar w:fldCharType="separate"/>
      </w:r>
      <w:r w:rsidRPr="00593697">
        <w:rPr>
          <w:rFonts w:ascii="Footlight MT Light" w:eastAsia="Cambria" w:hAnsi="Footlight MT Light" w:cs="Cambria"/>
          <w:bCs/>
          <w:noProof/>
          <w:sz w:val="24"/>
          <w:szCs w:val="22"/>
          <w:lang w:val="id-ID"/>
        </w:rPr>
        <w:t>(Salim et al., 2025)</w:t>
      </w:r>
      <w:r w:rsidRPr="00593697">
        <w:rPr>
          <w:rFonts w:ascii="Footlight MT Light" w:eastAsia="Cambria" w:hAnsi="Footlight MT Light" w:cs="Cambria"/>
          <w:bCs/>
          <w:sz w:val="24"/>
          <w:szCs w:val="22"/>
          <w:lang w:val="id-ID"/>
        </w:rPr>
        <w:fldChar w:fldCharType="end"/>
      </w:r>
      <w:r w:rsidR="00593697">
        <w:rPr>
          <w:rFonts w:ascii="Footlight MT Light" w:eastAsia="Cambria" w:hAnsi="Footlight MT Light" w:cs="Cambria"/>
          <w:bCs/>
          <w:sz w:val="24"/>
          <w:szCs w:val="22"/>
          <w:lang w:val="id-ID"/>
        </w:rPr>
        <w:t>.</w:t>
      </w:r>
    </w:p>
    <w:p w14:paraId="7BCAD5DC" w14:textId="77777777" w:rsid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593697">
        <w:rPr>
          <w:rFonts w:ascii="Footlight MT Light" w:eastAsia="Cambria" w:hAnsi="Footlight MT Light" w:cs="Cambria"/>
          <w:bCs/>
          <w:sz w:val="24"/>
          <w:szCs w:val="22"/>
          <w:lang w:val="id-ID"/>
        </w:rPr>
        <w:t>Terjemahan Kemenag 2019</w:t>
      </w:r>
      <w:r w:rsidR="00593697">
        <w:rPr>
          <w:rFonts w:ascii="Footlight MT Light" w:eastAsia="Cambria" w:hAnsi="Footlight MT Light" w:cs="Cambria"/>
          <w:bCs/>
          <w:sz w:val="24"/>
          <w:szCs w:val="22"/>
          <w:lang w:val="id-ID"/>
        </w:rPr>
        <w:t xml:space="preserve"> m</w:t>
      </w:r>
      <w:r w:rsidRPr="00593697">
        <w:rPr>
          <w:rFonts w:ascii="Footlight MT Light" w:eastAsia="Cambria" w:hAnsi="Footlight MT Light" w:cs="Cambria"/>
          <w:bCs/>
          <w:sz w:val="24"/>
          <w:szCs w:val="22"/>
          <w:lang w:val="id-ID"/>
        </w:rPr>
        <w:t xml:space="preserve">ereka bertanya kepadamu (Nabi Muhammad) tentang khamar64) dan judi. Katakanlah, “Pada keduanya terdapat dosa besar dan beberapa manfaat bagi manusia. (Akan tetapi,) dosa keduanya lebih besar daripada manfaatnya.” Mereka (juga) bertanya kepadamu (tentang) apa yang mereka infakkan. Katakanlah, “(Yang diinfakkan adalah) kelebihan (dari apa yang diperlukan).” Demikianlah Allah menerangkan ayat-ayat-Nya kepadamu agar </w:t>
      </w:r>
      <w:r w:rsidRPr="00593697">
        <w:rPr>
          <w:rFonts w:ascii="Footlight MT Light" w:eastAsia="Cambria" w:hAnsi="Footlight MT Light" w:cs="Cambria"/>
          <w:bCs/>
          <w:sz w:val="24"/>
          <w:szCs w:val="22"/>
          <w:lang w:val="id-ID"/>
        </w:rPr>
        <w:lastRenderedPageBreak/>
        <w:t>kamu berpikir.</w:t>
      </w:r>
      <w:r w:rsidR="00593697">
        <w:rPr>
          <w:rFonts w:ascii="Footlight MT Light" w:eastAsia="Cambria" w:hAnsi="Footlight MT Light" w:cs="Cambria"/>
          <w:bCs/>
          <w:sz w:val="24"/>
          <w:szCs w:val="22"/>
          <w:lang w:val="id-ID"/>
        </w:rPr>
        <w:t xml:space="preserve"> </w:t>
      </w:r>
    </w:p>
    <w:p w14:paraId="0C232310" w14:textId="77777777" w:rsid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593697">
        <w:rPr>
          <w:rFonts w:ascii="Footlight MT Light" w:eastAsia="Cambria" w:hAnsi="Footlight MT Light" w:cs="Cambria"/>
          <w:bCs/>
          <w:sz w:val="24"/>
          <w:szCs w:val="22"/>
          <w:lang w:val="id-ID"/>
        </w:rPr>
        <w:t>Ayat ini mengadopsi pendekatan yang sangat bijaksana dalam melarang judi. Allah SWT tidak langsung melarang secara keras, melainkan menjelaskan secara rasional bahwa meskipun ada manfaat kecil yang mungkin diperoleh dari judi, namun kerugian dan dosa yang ditimbulkannya jauh lebih besar. Pendekatan ini menunjukkan kearifan Al-Qur’an dalam membangun kesadaran manusia akan bahaya judi melalui pertimbangan rasional. Dalam tafsirnya, Imam Al-Qurthubi menjelaskan bahwa “manfaat” yang dimaksud dalam ayat ini adalah harta yang diperoleh para pemenang judi dan kesenangan sesaat, sedangkan “dosa besar” merujuk pada berbagai dampak negatif seperti permusuhan, kebencian, pengabaian ibadah, dan pemborosan harta. Ayat ini sangat relevan dengan konteks judi online modern, di mana “manfaat” yang ditawarkan berupa kemenangan finansial instan sering kali menutupi “dosa besar” yang mengancam seperti kecanduan, kehancuran finansial, dan keruntuhan moral.</w:t>
      </w:r>
      <w:r w:rsidRPr="00593697">
        <w:rPr>
          <w:rFonts w:ascii="Footlight MT Light" w:eastAsia="Cambria" w:hAnsi="Footlight MT Light" w:cs="Cambria"/>
          <w:bCs/>
          <w:sz w:val="24"/>
          <w:szCs w:val="22"/>
          <w:lang w:val="id-ID"/>
        </w:rPr>
        <w:fldChar w:fldCharType="begin" w:fldLock="1"/>
      </w:r>
      <w:r w:rsidRPr="00593697">
        <w:rPr>
          <w:rFonts w:ascii="Footlight MT Light" w:eastAsia="Cambria" w:hAnsi="Footlight MT Light" w:cs="Cambria"/>
          <w:bCs/>
          <w:sz w:val="24"/>
          <w:szCs w:val="22"/>
          <w:lang w:val="id-ID"/>
        </w:rPr>
        <w:instrText>ADDIN CSL_CITATION {"citationItems":[{"id":"ITEM-1","itemData":{"author":[{"dropping-particle":"","family":"Firmansyah","given":"Fauzi","non-dropping-particle":"","parse-names":false,"suffix":""},{"dropping-particle":"","family":"Febriyarni","given":"Busra","non-dropping-particle":"","parse-names":false,"suffix":""},{"dropping-particle":"","family":"Husein","given":"Muhammad","non-dropping-particle":"","parse-names":false,"suffix":""}],"id":"ITEM-1","issued":{"date-parts":[["2024"]]},"publisher":"Institut Agama Islam negeri Curup (IAIN)","title":"Makna maisir dalam Al-Qur'an dan hubungannya dengan judi online","type":"article"},"uris":["http://www.mendeley.com/documents/?uuid=b72c5f2d-e8d1-4c6e-8639-17f12fc691c6"]}],"mendeley":{"formattedCitation":"(Firmansyah et al., 2024)","plainTextFormattedCitation":"(Firmansyah et al., 2024)","previouslyFormattedCitation":"(Firmansyah et al., 2024)"},"properties":{"noteIndex":0},"schema":"https://github.com/citation-style-language/schema/raw/master/csl-citation.json"}</w:instrText>
      </w:r>
      <w:r w:rsidRPr="00593697">
        <w:rPr>
          <w:rFonts w:ascii="Footlight MT Light" w:eastAsia="Cambria" w:hAnsi="Footlight MT Light" w:cs="Cambria"/>
          <w:bCs/>
          <w:sz w:val="24"/>
          <w:szCs w:val="22"/>
          <w:lang w:val="id-ID"/>
        </w:rPr>
        <w:fldChar w:fldCharType="separate"/>
      </w:r>
      <w:r w:rsidRPr="00593697">
        <w:rPr>
          <w:rFonts w:ascii="Footlight MT Light" w:eastAsia="Cambria" w:hAnsi="Footlight MT Light" w:cs="Cambria"/>
          <w:bCs/>
          <w:noProof/>
          <w:sz w:val="24"/>
          <w:szCs w:val="22"/>
          <w:lang w:val="id-ID"/>
        </w:rPr>
        <w:t>(Firmansyah et al., 2024)</w:t>
      </w:r>
      <w:r w:rsidRPr="00593697">
        <w:rPr>
          <w:rFonts w:ascii="Footlight MT Light" w:eastAsia="Cambria" w:hAnsi="Footlight MT Light" w:cs="Cambria"/>
          <w:bCs/>
          <w:sz w:val="24"/>
          <w:szCs w:val="22"/>
          <w:lang w:val="id-ID"/>
        </w:rPr>
        <w:fldChar w:fldCharType="end"/>
      </w:r>
      <w:r w:rsidR="00593697">
        <w:rPr>
          <w:rFonts w:ascii="Footlight MT Light" w:eastAsia="Cambria" w:hAnsi="Footlight MT Light" w:cs="Cambria"/>
          <w:bCs/>
          <w:sz w:val="24"/>
          <w:szCs w:val="22"/>
          <w:lang w:val="id-ID"/>
        </w:rPr>
        <w:t xml:space="preserve">. </w:t>
      </w:r>
      <w:r w:rsidRPr="00593697">
        <w:rPr>
          <w:rFonts w:ascii="Footlight MT Light" w:eastAsia="Cambria" w:hAnsi="Footlight MT Light" w:cs="Cambria"/>
          <w:bCs/>
          <w:sz w:val="24"/>
          <w:szCs w:val="22"/>
          <w:lang w:val="id-ID"/>
        </w:rPr>
        <w:t>Dalam konteks perdagangan, Islam memperbolehkan risiko yang bersifat wajar dan dapat dihitung, asalkan tidak melampaui batas ketidakpastian yang ditoleransi (gharar yasir).(N. R. Kusuma, 2025) Misalnya, dalam bisnis pertanian, ada risiko gagal panen yang tidak dapat dihindari, tetapi risiko ini dianggap wajar karena adanya usaha nyata dari petani. Demikian pula dalam perdagangan saham, risiko fluktuasi harga dianggap dapat diterima selama ada analisis fundamental yang mendasarinya.</w:t>
      </w:r>
    </w:p>
    <w:p w14:paraId="7296606A" w14:textId="77777777" w:rsid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593697">
        <w:rPr>
          <w:rFonts w:ascii="Footlight MT Light" w:eastAsia="Cambria" w:hAnsi="Footlight MT Light" w:cs="Cambria"/>
          <w:bCs/>
          <w:sz w:val="24"/>
          <w:szCs w:val="22"/>
          <w:lang w:val="id-ID"/>
        </w:rPr>
        <w:t>Namun, dalam perjudian, unsur gharar berada pada tingkat yang tidak dapat diterima (gharar fahish). Ketidakpastian dalam judi bersifat mutlak dan tidak dapat dikontrol sama sekali. Tidak ada korelasi antara usaha yang dilakukan dengan hasil yang diperoleh. Seseorang bisa mendapatkan keuntungan besar tanpa melakukan apa-apa, atau sebaliknya, menderita kerugian besar meskipun telah berusaha keras. Konsep ini bertentangan dengan prinsip keadilan Islam yang mensyaratkan adanya keseimbangan antara usaha dan hasil.(Thaha &amp; Al Hasan, 2024)</w:t>
      </w:r>
      <w:r w:rsidR="00593697">
        <w:rPr>
          <w:rFonts w:ascii="Footlight MT Light" w:eastAsia="Cambria" w:hAnsi="Footlight MT Light" w:cs="Cambria"/>
          <w:bCs/>
          <w:sz w:val="24"/>
          <w:szCs w:val="22"/>
          <w:lang w:val="id-ID"/>
        </w:rPr>
        <w:t xml:space="preserve">. </w:t>
      </w:r>
      <w:r w:rsidRPr="00593697">
        <w:rPr>
          <w:rFonts w:ascii="Footlight MT Light" w:eastAsia="Cambria" w:hAnsi="Footlight MT Light" w:cs="Cambria"/>
          <w:bCs/>
          <w:sz w:val="24"/>
          <w:szCs w:val="22"/>
          <w:lang w:val="id-ID"/>
        </w:rPr>
        <w:t>Ulama tafsir, baik klasik maupun kontemporer, telah memberikan kontribusi signifikan dalam memahami makna larangan judi dalam Al-Qur’an. Melalui pendekatan linguistik, historis, dan kontekstual, mereka menghasilkan pemahaman yang komprehensif tentang esensi larangan maisir dan implikasinya dalam kehidupan umat Islam, termasuk dalam konteks judi online modern.(Azizi &amp; Darta, 2025)</w:t>
      </w:r>
      <w:r w:rsidR="00593697">
        <w:rPr>
          <w:rFonts w:ascii="Footlight MT Light" w:eastAsia="Cambria" w:hAnsi="Footlight MT Light" w:cs="Cambria"/>
          <w:bCs/>
          <w:sz w:val="24"/>
          <w:szCs w:val="22"/>
          <w:lang w:val="id-ID"/>
        </w:rPr>
        <w:t xml:space="preserve">. </w:t>
      </w:r>
    </w:p>
    <w:p w14:paraId="6FCF5846" w14:textId="77777777" w:rsid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593697">
        <w:rPr>
          <w:rFonts w:ascii="Footlight MT Light" w:eastAsia="Cambria" w:hAnsi="Footlight MT Light" w:cs="Cambria"/>
          <w:bCs/>
          <w:sz w:val="24"/>
          <w:szCs w:val="22"/>
          <w:lang w:val="id-ID"/>
        </w:rPr>
        <w:t>Imam Al-Tabari (w. 310 H), dalam kitab tafsirnya “Jami’ al-Bayan an Ta’wil Ay al-Qur’an”, memberikan penafsiran yang mendalam tentang Surah Al-Baqarah ayat 219 dan Surah Al-Maidah ayat 90-91. Al-Tabari menekankan bahwa larangan judi bukanlah larangan sembarangan, melainkan berdasarkan pertimbangan maslahat (kebaikan) bagi manusia. Beliau menjelaskan bahwa “Allah SWT melarang judi karena dalamnya terdapat kerusakan yang lebih besar daripada manfaatnya, baik secara individu maupun sosial.</w:t>
      </w:r>
      <w:r w:rsidRPr="00593697">
        <w:rPr>
          <w:rFonts w:ascii="Footlight MT Light" w:eastAsia="Cambria" w:hAnsi="Footlight MT Light" w:cs="Cambria"/>
          <w:bCs/>
          <w:sz w:val="24"/>
          <w:szCs w:val="22"/>
          <w:lang w:val="id-ID"/>
        </w:rPr>
        <w:fldChar w:fldCharType="begin" w:fldLock="1"/>
      </w:r>
      <w:r w:rsidRPr="00593697">
        <w:rPr>
          <w:rFonts w:ascii="Footlight MT Light" w:eastAsia="Cambria" w:hAnsi="Footlight MT Light" w:cs="Cambria"/>
          <w:bCs/>
          <w:sz w:val="24"/>
          <w:szCs w:val="22"/>
          <w:lang w:val="id-ID"/>
        </w:rPr>
        <w:instrText>ADDIN CSL_CITATION {"citationItems":[{"id":"ITEM-1","itemData":{"ISBN":"6347306506","author":[{"dropping-particle":"","family":"Fithoroini","given":"Dayan","non-dropping-particle":"","parse-names":false,"suffix":""}],"id":"ITEM-1","issued":{"date-parts":[["2025"]]},"publisher":"Serasi Media Teknologi","title":"Pengantar Ilmu Fikih","type":"book"},"uris":["http://www.mendeley.com/documents/?uuid=caec9493-3875-498e-8190-fb4b6a07c3e0"]}],"mendeley":{"formattedCitation":"(Fithoroini, 2025)","plainTextFormattedCitation":"(Fithoroini, 2025)","previouslyFormattedCitation":"(Fithoroini, 2025)"},"properties":{"noteIndex":0},"schema":"https://github.com/citation-style-language/schema/raw/master/csl-citation.json"}</w:instrText>
      </w:r>
      <w:r w:rsidRPr="00593697">
        <w:rPr>
          <w:rFonts w:ascii="Footlight MT Light" w:eastAsia="Cambria" w:hAnsi="Footlight MT Light" w:cs="Cambria"/>
          <w:bCs/>
          <w:sz w:val="24"/>
          <w:szCs w:val="22"/>
          <w:lang w:val="id-ID"/>
        </w:rPr>
        <w:fldChar w:fldCharType="separate"/>
      </w:r>
      <w:r w:rsidRPr="00593697">
        <w:rPr>
          <w:rFonts w:ascii="Footlight MT Light" w:eastAsia="Cambria" w:hAnsi="Footlight MT Light" w:cs="Cambria"/>
          <w:bCs/>
          <w:noProof/>
          <w:sz w:val="24"/>
          <w:szCs w:val="22"/>
          <w:lang w:val="id-ID"/>
        </w:rPr>
        <w:t>(Fithoroini, 2025)</w:t>
      </w:r>
      <w:r w:rsidRPr="00593697">
        <w:rPr>
          <w:rFonts w:ascii="Footlight MT Light" w:eastAsia="Cambria" w:hAnsi="Footlight MT Light" w:cs="Cambria"/>
          <w:bCs/>
          <w:sz w:val="24"/>
          <w:szCs w:val="22"/>
          <w:lang w:val="id-ID"/>
        </w:rPr>
        <w:fldChar w:fldCharType="end"/>
      </w:r>
      <w:r w:rsidRPr="00593697">
        <w:rPr>
          <w:rFonts w:ascii="Footlight MT Light" w:eastAsia="Cambria" w:hAnsi="Footlight MT Light" w:cs="Cambria"/>
          <w:bCs/>
          <w:sz w:val="24"/>
          <w:szCs w:val="22"/>
          <w:lang w:val="id-ID"/>
        </w:rPr>
        <w:t xml:space="preserve"> Al-Tabari juga menyoroti bahwa judi pada masa jahiliyah sering kali menyertai aktivitas minum khamar, sehingga keduanya memiliki dampak destruktif yang serupa. Dalam konteks modern, pandangan ini sangat relevan karena judi online sering kali juga dikaitkan dengan perilaku adiktif lainnya seperti penyalahgunaan zat dan konsumsi konten tidak sehat lainnya di internet.</w:t>
      </w:r>
      <w:r w:rsidR="00593697">
        <w:rPr>
          <w:rFonts w:ascii="Footlight MT Light" w:eastAsia="Cambria" w:hAnsi="Footlight MT Light" w:cs="Cambria"/>
          <w:bCs/>
          <w:sz w:val="24"/>
          <w:szCs w:val="22"/>
          <w:lang w:val="id-ID"/>
        </w:rPr>
        <w:t xml:space="preserve"> </w:t>
      </w:r>
    </w:p>
    <w:p w14:paraId="0798BED3" w14:textId="77777777" w:rsid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593697">
        <w:rPr>
          <w:rFonts w:ascii="Footlight MT Light" w:eastAsia="Cambria" w:hAnsi="Footlight MT Light" w:cs="Cambria"/>
          <w:bCs/>
          <w:sz w:val="24"/>
          <w:szCs w:val="22"/>
          <w:lang w:val="id-ID"/>
        </w:rPr>
        <w:t>Imam Al-Qurthubi (w. 671 H), dalam tafsirnya “Al-Jami’ li Ahkam al-Qur’an”, memberikan penafsiran yang lebih komprehensif dengan pendekatan hukum dan sosial. Al-Qurthubi menekankan bahwa judi termasuk dalam kategori “kabair” (dosa-dosa besar) yang harus dijauhi oleh setiap muslim. Beliau menjelaskan bahwa “judi adalah pintu gerbang menuju dosa-dosa lainnya, karena ketika seseorang telah terbiasa menghamburkan harta untuk judi, ia akan semakin mudah melakukan dosa lainnya”. Al-Qurthubi juga memberikan analisis menarik tentang istilah “rijz” (perbuatan keji) yang digunakan dalam Surah Al-Maidah ayat 90. Menurut beliau, istilah ini menunjukkan tingkat keburukan yang sangat tinggi, setara dengan najis yang harus dihindari. Pendekatan ini menunjukkan bagaimana Al-Qurthubi menghubungkan konsep ritual dengan konsep moral dalam Islam, yang sangat relevan dalam memahami bahaya judi online sebagai bentuk “najis digital” yang harus dijauhi.</w:t>
      </w:r>
      <w:r w:rsidRPr="00593697">
        <w:rPr>
          <w:rFonts w:ascii="Footlight MT Light" w:eastAsia="Cambria" w:hAnsi="Footlight MT Light" w:cs="Cambria"/>
          <w:bCs/>
          <w:sz w:val="24"/>
          <w:szCs w:val="22"/>
          <w:lang w:val="id-ID"/>
        </w:rPr>
        <w:fldChar w:fldCharType="begin" w:fldLock="1"/>
      </w:r>
      <w:r w:rsidRPr="00593697">
        <w:rPr>
          <w:rFonts w:ascii="Footlight MT Light" w:eastAsia="Cambria" w:hAnsi="Footlight MT Light" w:cs="Cambria"/>
          <w:bCs/>
          <w:sz w:val="24"/>
          <w:szCs w:val="22"/>
          <w:lang w:val="id-ID"/>
        </w:rPr>
        <w:instrText>ADDIN CSL_CITATION {"citationItems":[{"id":"ITEM-1","itemData":{"ISBN":"6236398003","author":[{"dropping-particle":"","family":"Ridwan","given":"Mohammad","non-dropping-particle":"","parse-names":false,"suffix":""}],"id":"ITEM-1","issued":{"date-parts":[["2021"]]},"publisher":"Zahir Publishing","title":"Wawasan keislaman: Penguatan diskursus keislaman kontemporer","type":"book"},"uris":["http://www.mendeley.com/documents/?uuid=7015b13f-31b4-4361-8caa-fbf7b95f4768"]}],"mendeley":{"formattedCitation":"(Ridwan, 2021)","plainTextFormattedCitation":"(Ridwan, 2021)","previouslyFormattedCitation":"(Ridwan, 2021)"},"properties":{"noteIndex":0},"schema":"https://github.com/citation-style-language/schema/raw/master/csl-citation.json"}</w:instrText>
      </w:r>
      <w:r w:rsidRPr="00593697">
        <w:rPr>
          <w:rFonts w:ascii="Footlight MT Light" w:eastAsia="Cambria" w:hAnsi="Footlight MT Light" w:cs="Cambria"/>
          <w:bCs/>
          <w:sz w:val="24"/>
          <w:szCs w:val="22"/>
          <w:lang w:val="id-ID"/>
        </w:rPr>
        <w:fldChar w:fldCharType="separate"/>
      </w:r>
      <w:r w:rsidRPr="00593697">
        <w:rPr>
          <w:rFonts w:ascii="Footlight MT Light" w:eastAsia="Cambria" w:hAnsi="Footlight MT Light" w:cs="Cambria"/>
          <w:bCs/>
          <w:noProof/>
          <w:sz w:val="24"/>
          <w:szCs w:val="22"/>
          <w:lang w:val="id-ID"/>
        </w:rPr>
        <w:t>(Ridwan, 2021)</w:t>
      </w:r>
      <w:r w:rsidRPr="00593697">
        <w:rPr>
          <w:rFonts w:ascii="Footlight MT Light" w:eastAsia="Cambria" w:hAnsi="Footlight MT Light" w:cs="Cambria"/>
          <w:bCs/>
          <w:sz w:val="24"/>
          <w:szCs w:val="22"/>
          <w:lang w:val="id-ID"/>
        </w:rPr>
        <w:fldChar w:fldCharType="end"/>
      </w:r>
      <w:r w:rsidR="00593697">
        <w:rPr>
          <w:rFonts w:ascii="Footlight MT Light" w:eastAsia="Cambria" w:hAnsi="Footlight MT Light" w:cs="Cambria"/>
          <w:bCs/>
          <w:sz w:val="24"/>
          <w:szCs w:val="22"/>
          <w:lang w:val="id-ID"/>
        </w:rPr>
        <w:t>.</w:t>
      </w:r>
    </w:p>
    <w:p w14:paraId="433E480F" w14:textId="77777777" w:rsid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593697">
        <w:rPr>
          <w:rFonts w:ascii="Footlight MT Light" w:eastAsia="Cambria" w:hAnsi="Footlight MT Light" w:cs="Cambria"/>
          <w:bCs/>
          <w:sz w:val="24"/>
          <w:szCs w:val="22"/>
          <w:lang w:val="id-ID"/>
        </w:rPr>
        <w:t xml:space="preserve">Di era kontemporer, M. Quraish Shihab, dalam tafsirnya “Tafsir Al Mishbah”, memberikan pendekatan yang sangat kontekstual dan relevan dengan perkembangan zaman. Beliau menekankan bahwa esensi larangan judi bukan terletak pada bentuknya, melainkan pada </w:t>
      </w:r>
      <w:r w:rsidRPr="00593697">
        <w:rPr>
          <w:rFonts w:ascii="Footlight MT Light" w:eastAsia="Cambria" w:hAnsi="Footlight MT Light" w:cs="Cambria"/>
          <w:bCs/>
          <w:sz w:val="24"/>
          <w:szCs w:val="22"/>
          <w:lang w:val="id-ID"/>
        </w:rPr>
        <w:lastRenderedPageBreak/>
        <w:t>substansinya. Menurut Quraish Shihab, “apapun bentuk aktivitas yang mengandung unsur maisir, baik itu judi konvensional maupun judi modern, tetap haram selama memenuhi kriteria maisir dalam Islam”. Beliau juga menambahkan bahwa “dalam era digital, judi online justru lebih berbahaya karena lebih mudah diakses dan lebih sulit untuk dikontrol”. Pendekatan ini sangat penting dalam memahami mengapa judi online juga termasuk dalam kategori haram meskipun bentuknya berbeda dengan judi tradisional.</w:t>
      </w:r>
    </w:p>
    <w:p w14:paraId="35826881" w14:textId="29A3C4B9" w:rsidR="004C3B16" w:rsidRPr="00593697"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593697">
        <w:rPr>
          <w:rFonts w:ascii="Footlight MT Light" w:eastAsia="Cambria" w:hAnsi="Footlight MT Light" w:cs="Cambria"/>
          <w:bCs/>
          <w:sz w:val="24"/>
          <w:szCs w:val="22"/>
          <w:lang w:val="id-ID"/>
        </w:rPr>
        <w:t>Quraish Shihab juga memberikan kontribusi penting dalam membahas konsep gharar (ketidakpastian) dalam konteks modern. Beliau menjelaskan bahwa “dalam fiqih klasik, gharar dibatasi pada transaksi yang dapat diindera secara langsung. Namun, dalam era digital, gharar dapat terjadi dalam bentuk yang lebih kompleks dan tidak terlihat, seperti dalam judi online, cryptocurrency, dan berbagai bentuk transaksi digital lainnya”. Pendekatan ini menunjukkan relevansi fiqih Islam dalam menghadapi tantangan teknologi modern dan memberikan dasar teologis yang kuat untuk mengharamkan judi online.</w:t>
      </w:r>
      <w:r w:rsidRPr="00593697">
        <w:rPr>
          <w:rFonts w:ascii="Footlight MT Light" w:eastAsia="Cambria" w:hAnsi="Footlight MT Light" w:cs="Cambria"/>
          <w:bCs/>
          <w:sz w:val="24"/>
          <w:szCs w:val="22"/>
          <w:lang w:val="id-ID"/>
        </w:rPr>
        <w:fldChar w:fldCharType="begin" w:fldLock="1"/>
      </w:r>
      <w:r w:rsidRPr="00593697">
        <w:rPr>
          <w:rFonts w:ascii="Footlight MT Light" w:eastAsia="Cambria" w:hAnsi="Footlight MT Light" w:cs="Cambria"/>
          <w:bCs/>
          <w:sz w:val="24"/>
          <w:szCs w:val="22"/>
          <w:lang w:val="id-ID"/>
        </w:rPr>
        <w:instrText>ADDIN CSL_CITATION {"citationItems":[{"id":"ITEM-1","itemData":{"author":[{"dropping-particle":"","family":"PUTRI","given":"D W I RISKI","non-dropping-particle":"","parse-names":false,"suffix":""}],"id":"ITEM-1","issued":{"date-parts":[["2024"]]},"publisher":"IAIN ParePare","title":"Konsep Perdagangan Dalam Tafsir Al-Misbah (studi terhadap pemikiran M. Quraish Shihab)","type":"article"},"uris":["http://www.mendeley.com/documents/?uuid=14644768-abee-4eed-8832-974f163ece9d"]}],"mendeley":{"formattedCitation":"(PUTRI, 2024)","plainTextFormattedCitation":"(PUTRI, 2024)","previouslyFormattedCitation":"(PUTRI, 2024)"},"properties":{"noteIndex":0},"schema":"https://github.com/citation-style-language/schema/raw/master/csl-citation.json"}</w:instrText>
      </w:r>
      <w:r w:rsidRPr="00593697">
        <w:rPr>
          <w:rFonts w:ascii="Footlight MT Light" w:eastAsia="Cambria" w:hAnsi="Footlight MT Light" w:cs="Cambria"/>
          <w:bCs/>
          <w:sz w:val="24"/>
          <w:szCs w:val="22"/>
          <w:lang w:val="id-ID"/>
        </w:rPr>
        <w:fldChar w:fldCharType="separate"/>
      </w:r>
      <w:r w:rsidRPr="00593697">
        <w:rPr>
          <w:rFonts w:ascii="Footlight MT Light" w:eastAsia="Cambria" w:hAnsi="Footlight MT Light" w:cs="Cambria"/>
          <w:bCs/>
          <w:noProof/>
          <w:sz w:val="24"/>
          <w:szCs w:val="22"/>
          <w:lang w:val="id-ID"/>
        </w:rPr>
        <w:t>(PUTRI, 2024)</w:t>
      </w:r>
      <w:r w:rsidRPr="00593697">
        <w:rPr>
          <w:rFonts w:ascii="Footlight MT Light" w:eastAsia="Cambria" w:hAnsi="Footlight MT Light" w:cs="Cambria"/>
          <w:bCs/>
          <w:sz w:val="24"/>
          <w:szCs w:val="22"/>
          <w:lang w:val="id-ID"/>
        </w:rPr>
        <w:fldChar w:fldCharType="end"/>
      </w:r>
      <w:r w:rsidR="00593697">
        <w:rPr>
          <w:rFonts w:ascii="Footlight MT Light" w:eastAsia="Cambria" w:hAnsi="Footlight MT Light" w:cs="Cambria"/>
          <w:bCs/>
          <w:sz w:val="24"/>
          <w:szCs w:val="22"/>
          <w:lang w:val="id-ID"/>
        </w:rPr>
        <w:t>.</w:t>
      </w:r>
    </w:p>
    <w:p w14:paraId="66EFEB29" w14:textId="77777777" w:rsidR="004C3B16" w:rsidRPr="00045649" w:rsidRDefault="004C3B16" w:rsidP="004C3B16">
      <w:pPr>
        <w:widowControl w:val="0"/>
        <w:autoSpaceDE w:val="0"/>
        <w:autoSpaceDN w:val="0"/>
        <w:jc w:val="both"/>
        <w:rPr>
          <w:rFonts w:ascii="Footlight MT Light" w:eastAsia="Cambria" w:hAnsi="Footlight MT Light" w:cs="Cambria"/>
          <w:b/>
          <w:sz w:val="24"/>
          <w:szCs w:val="22"/>
          <w:lang w:val="id-ID"/>
        </w:rPr>
      </w:pPr>
      <w:r w:rsidRPr="00045649">
        <w:rPr>
          <w:rFonts w:ascii="Footlight MT Light" w:eastAsia="Cambria" w:hAnsi="Footlight MT Light" w:cs="Cambria"/>
          <w:b/>
          <w:sz w:val="24"/>
          <w:szCs w:val="22"/>
          <w:lang w:val="id-ID"/>
        </w:rPr>
        <w:t>Pendekatan Integratif Antara Tafsir Al-Qur’an dan Teknologi Dapat Menghasilkan Solusi Inovatif Untuk Mencegah Kejahatan Judi Online</w:t>
      </w:r>
    </w:p>
    <w:p w14:paraId="0F50710B" w14:textId="63825513" w:rsidR="004C3B16" w:rsidRPr="00045649"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045649">
        <w:rPr>
          <w:rFonts w:ascii="Footlight MT Light" w:eastAsia="Cambria" w:hAnsi="Footlight MT Light" w:cs="Cambria"/>
          <w:bCs/>
          <w:sz w:val="24"/>
          <w:szCs w:val="22"/>
          <w:lang w:val="id-ID"/>
        </w:rPr>
        <w:t>Pendekatan integratif antara tafsir Al-Qur’an dan teknologi dalam menghadapi judi online menjadi sangat mendesak karena beberapa alasan fundamental. Pertama, judi online bukanlah masalah hukum semata, melainkan masalah kompleks yang melibatkan aspek teologis, psikologis, sosial, dan teknologis. Larangan judi dalam Islam memiliki dasar filosofis yang kuat terkait dengan perlindungan terhadap akal, harta, dan moral manusia. Al-Qur’an dengan tegas menyatakan bahwa judi termasuk dalam kategori “perbuatan keji termasuk perbuatan setan” yang hanya ingin “menimbulkan permusuhan dan kebencian di antara kamu” (QS. Al-Maidah: 90-91. Pemahaman mendalam tentang pesan Al-Qur’an ini perlu menjadi landasan utama dalam setiap upaya pencegahan judi online.</w:t>
      </w:r>
      <w:r w:rsidR="00593697">
        <w:rPr>
          <w:rFonts w:ascii="Footlight MT Light" w:eastAsia="Cambria" w:hAnsi="Footlight MT Light" w:cs="Cambria"/>
          <w:bCs/>
          <w:sz w:val="24"/>
          <w:szCs w:val="22"/>
          <w:lang w:val="id-ID"/>
        </w:rPr>
        <w:t xml:space="preserve"> </w:t>
      </w:r>
      <w:r w:rsidRPr="00045649">
        <w:rPr>
          <w:rFonts w:ascii="Footlight MT Light" w:eastAsia="Cambria" w:hAnsi="Footlight MT Light" w:cs="Cambria"/>
          <w:bCs/>
          <w:sz w:val="24"/>
          <w:szCs w:val="22"/>
          <w:lang w:val="id-ID"/>
        </w:rPr>
        <w:t>Kedua, pendekatan hukum dan moral yang berjalan secara terpisah telah terbukti tidak efektif dalam mengatasi masalah judi online. Penelitian menunjukkan bahwa larangan hukum saja tanpa dibarengi dengan pemahaman internal tentang mengapa judi itu dilarang dari perspektif agama akan kurang efektif dalam mengubah perilaku masyarakat.</w:t>
      </w:r>
      <w:r w:rsidRPr="00045649">
        <w:rPr>
          <w:rFonts w:ascii="Footlight MT Light" w:eastAsia="Cambria" w:hAnsi="Footlight MT Light" w:cs="Cambria"/>
          <w:bCs/>
          <w:sz w:val="24"/>
          <w:szCs w:val="22"/>
          <w:lang w:val="id-ID"/>
        </w:rPr>
        <w:fldChar w:fldCharType="begin" w:fldLock="1"/>
      </w:r>
      <w:r w:rsidRPr="00045649">
        <w:rPr>
          <w:rFonts w:ascii="Footlight MT Light" w:eastAsia="Cambria" w:hAnsi="Footlight MT Light" w:cs="Cambria"/>
          <w:bCs/>
          <w:sz w:val="24"/>
          <w:szCs w:val="22"/>
          <w:lang w:val="id-ID"/>
        </w:rPr>
        <w:instrText>ADDIN CSL_CITATION {"citationItems":[{"id":"ITEM-1","itemData":{"URL":"https://uin-alauddin.ac.id/tulisan/detail/judi-online-dalam-sorotan-islam---membongkar-bahaya-dan-hukum-syariah-0724","author":[{"dropping-particle":"","family":"Prof. Dr. H. Munawir K., S.Ag.","given":"M.Ag.","non-dropping-particle":"","parse-names":false,"suffix":""}],"id":"ITEM-1","issued":{"date-parts":[["2024"]]},"title":"”Judi Online dalam sorotan Islam : Membongkar Bahaya dan Hukum Syariah.”","type":"webpage"},"uris":["http://www.mendeley.com/documents/?uuid=76d42794-88c5-4388-890b-1d11cbce6641"]}],"mendeley":{"formattedCitation":"(Prof. Dr. H. Munawir K., S.Ag., 2024)","plainTextFormattedCitation":"(Prof. Dr. H. Munawir K., S.Ag., 2024)","previouslyFormattedCitation":"(Prof. Dr. H. Munawir K., S.Ag., 2024)"},"properties":{"noteIndex":0},"schema":"https://github.com/citation-style-language/schema/raw/master/csl-citation.json"}</w:instrText>
      </w:r>
      <w:r w:rsidRPr="00045649">
        <w:rPr>
          <w:rFonts w:ascii="Footlight MT Light" w:eastAsia="Cambria" w:hAnsi="Footlight MT Light" w:cs="Cambria"/>
          <w:bCs/>
          <w:sz w:val="24"/>
          <w:szCs w:val="22"/>
          <w:lang w:val="id-ID"/>
        </w:rPr>
        <w:fldChar w:fldCharType="separate"/>
      </w:r>
      <w:r w:rsidRPr="00045649">
        <w:rPr>
          <w:rFonts w:ascii="Footlight MT Light" w:eastAsia="Cambria" w:hAnsi="Footlight MT Light" w:cs="Cambria"/>
          <w:bCs/>
          <w:noProof/>
          <w:sz w:val="24"/>
          <w:szCs w:val="22"/>
          <w:lang w:val="id-ID"/>
        </w:rPr>
        <w:t>(Prof. Dr. H. Munawir K., S.Ag., 2024)</w:t>
      </w:r>
      <w:r w:rsidRPr="00045649">
        <w:rPr>
          <w:rFonts w:ascii="Footlight MT Light" w:eastAsia="Cambria" w:hAnsi="Footlight MT Light" w:cs="Cambria"/>
          <w:bCs/>
          <w:sz w:val="24"/>
          <w:szCs w:val="22"/>
          <w:lang w:val="id-ID"/>
        </w:rPr>
        <w:fldChar w:fldCharType="end"/>
      </w:r>
      <w:r w:rsidRPr="00045649">
        <w:rPr>
          <w:rFonts w:ascii="Footlight MT Light" w:eastAsia="Cambria" w:hAnsi="Footlight MT Light" w:cs="Cambria"/>
          <w:bCs/>
          <w:sz w:val="24"/>
          <w:szCs w:val="22"/>
          <w:lang w:val="id-ID"/>
        </w:rPr>
        <w:t xml:space="preserve"> Sebaliknya, pendidikan moral tanpa dukungan teknologi yang memadai juga akan kesulitan menghadapi canggihnya platform judi online yang terus berevolusi. Diperlukan sinergi antara pemahaman teologis yang mendalam dan solusi teknologi yang inovatif untuk menciptakan benteng pertahanan yang komprehensif bagi masyarakat.</w:t>
      </w:r>
    </w:p>
    <w:p w14:paraId="4A3D94D3" w14:textId="5979DEC8" w:rsidR="004C3B16" w:rsidRPr="00045649"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045649">
        <w:rPr>
          <w:rFonts w:ascii="Footlight MT Light" w:eastAsia="Cambria" w:hAnsi="Footlight MT Light" w:cs="Cambria"/>
          <w:bCs/>
          <w:sz w:val="24"/>
          <w:szCs w:val="22"/>
          <w:lang w:val="id-ID"/>
        </w:rPr>
        <w:t>Ketiga, karakteristik generasi muda saat ini yang sangat akrab dengan teknologi digital membutuhkan pendekatan yang sesuai dengan konteks mereka. Generasi digital native lebih responsif terhadap pendekatan yang menggunakan media dan teknologi yang mereka kuasai. Oleh karena itu, nilai-nilai Al-Qur’an tentang larangan judi perlu dikemas dalam bentuk yang relevan dan mudah diakses melalui platform digital. Seperti yang dijelaskan dalam tafsir tematik, “pendidikan agama di era digital harus mampu beradaptasi dengan perkembangan teknologi tanpa mengorbankan keaslian pesan Al-Qur’an”.</w:t>
      </w:r>
      <w:r w:rsidRPr="00045649">
        <w:rPr>
          <w:rFonts w:ascii="Footlight MT Light" w:eastAsia="Cambria" w:hAnsi="Footlight MT Light" w:cs="Cambria"/>
          <w:bCs/>
          <w:sz w:val="24"/>
          <w:szCs w:val="22"/>
          <w:lang w:val="id-ID"/>
        </w:rPr>
        <w:fldChar w:fldCharType="begin" w:fldLock="1"/>
      </w:r>
      <w:r w:rsidRPr="00045649">
        <w:rPr>
          <w:rFonts w:ascii="Footlight MT Light" w:eastAsia="Cambria" w:hAnsi="Footlight MT Light" w:cs="Cambria"/>
          <w:bCs/>
          <w:sz w:val="24"/>
          <w:szCs w:val="22"/>
          <w:lang w:val="id-ID"/>
        </w:rPr>
        <w:instrText>ADDIN CSL_CITATION {"citationItems":[{"id":"ITEM-1","itemData":{"URL":"https://www.kompasiana.com/muhammadfayedh5522/683341c5c925c45dcc0c8252/tafsir-tematik-larangan-miras-dan-judi-dalam-al-quran?page=all&amp;page_images=1","author":[{"dropping-particle":"","family":"Fayedh","given":"Muhammad","non-dropping-particle":"","parse-names":false,"suffix":""}],"id":"ITEM-1","issued":{"date-parts":[["2025"]]},"title":"Tafsir Tematik: Larangan Miras dan Judi dalam Al-Quran","type":"webpage"},"uris":["http://www.mendeley.com/documents/?uuid=e03202b7-4f22-4921-b774-0aaeccbdcea9"]}],"mendeley":{"formattedCitation":"(Fayedh, 2025)","plainTextFormattedCitation":"(Fayedh, 2025)","previouslyFormattedCitation":"(Fayedh, 2025)"},"properties":{"noteIndex":0},"schema":"https://github.com/citation-style-language/schema/raw/master/csl-citation.json"}</w:instrText>
      </w:r>
      <w:r w:rsidRPr="00045649">
        <w:rPr>
          <w:rFonts w:ascii="Footlight MT Light" w:eastAsia="Cambria" w:hAnsi="Footlight MT Light" w:cs="Cambria"/>
          <w:bCs/>
          <w:sz w:val="24"/>
          <w:szCs w:val="22"/>
          <w:lang w:val="id-ID"/>
        </w:rPr>
        <w:fldChar w:fldCharType="separate"/>
      </w:r>
      <w:r w:rsidRPr="00045649">
        <w:rPr>
          <w:rFonts w:ascii="Footlight MT Light" w:eastAsia="Cambria" w:hAnsi="Footlight MT Light" w:cs="Cambria"/>
          <w:bCs/>
          <w:noProof/>
          <w:sz w:val="24"/>
          <w:szCs w:val="22"/>
          <w:lang w:val="id-ID"/>
        </w:rPr>
        <w:t>(Fayedh, 2025)</w:t>
      </w:r>
      <w:r w:rsidRPr="00045649">
        <w:rPr>
          <w:rFonts w:ascii="Footlight MT Light" w:eastAsia="Cambria" w:hAnsi="Footlight MT Light" w:cs="Cambria"/>
          <w:bCs/>
          <w:sz w:val="24"/>
          <w:szCs w:val="22"/>
          <w:lang w:val="id-ID"/>
        </w:rPr>
        <w:fldChar w:fldCharType="end"/>
      </w:r>
      <w:r w:rsidR="00593697">
        <w:rPr>
          <w:rFonts w:ascii="Footlight MT Light" w:eastAsia="Cambria" w:hAnsi="Footlight MT Light" w:cs="Cambria"/>
          <w:bCs/>
          <w:sz w:val="24"/>
          <w:szCs w:val="22"/>
          <w:lang w:val="id-ID"/>
        </w:rPr>
        <w:t xml:space="preserve">. </w:t>
      </w:r>
      <w:r w:rsidRPr="00045649">
        <w:rPr>
          <w:rFonts w:ascii="Footlight MT Light" w:eastAsia="Cambria" w:hAnsi="Footlight MT Light" w:cs="Cambria"/>
          <w:bCs/>
          <w:sz w:val="24"/>
          <w:szCs w:val="22"/>
          <w:lang w:val="id-ID"/>
        </w:rPr>
        <w:t>Keempat, pendekatan integratif memiliki potensi untuk menciptakan solusi yang lebih berkelanjutan karena menjangkau akar masalah dari berbagai dimensi. Teknologi dapat digunakan tidak hanya untuk memblokir akses ke judi online, tetapi juga untuk menyebarkan pemahaman tentang bahaya judi dari perspektif Islam secara luas dan efektif.</w:t>
      </w:r>
      <w:r w:rsidRPr="00045649">
        <w:rPr>
          <w:rFonts w:ascii="Footlight MT Light" w:eastAsia="Cambria" w:hAnsi="Footlight MT Light" w:cs="Cambria"/>
          <w:bCs/>
          <w:sz w:val="24"/>
          <w:szCs w:val="22"/>
          <w:lang w:val="id-ID"/>
        </w:rPr>
        <w:fldChar w:fldCharType="begin" w:fldLock="1"/>
      </w:r>
      <w:r w:rsidRPr="00045649">
        <w:rPr>
          <w:rFonts w:ascii="Footlight MT Light" w:eastAsia="Cambria" w:hAnsi="Footlight MT Light" w:cs="Cambria"/>
          <w:bCs/>
          <w:sz w:val="24"/>
          <w:szCs w:val="22"/>
          <w:lang w:val="id-ID"/>
        </w:rPr>
        <w:instrText>ADDIN CSL_CITATION {"citationItems":[{"id":"ITEM-1","itemData":{"ISSN":"2776-1053","author":[{"dropping-particle":"","family":"Anisa","given":"Lina Nur","non-dropping-particle":"","parse-names":false,"suffix":""}],"container-title":"Journal of Islamic Business Management Studies (JIBMS)","id":"ITEM-1","issue":"1","issued":{"date-parts":[["2024"]]},"page":"1-21","title":"Judi Online Dalam Perspektif Maqashid Syariah","type":"article-journal","volume":"5"},"uris":["http://www.mendeley.com/documents/?uuid=6d0f0083-d790-4e2e-b9cd-debf6ceffdc3"]}],"mendeley":{"formattedCitation":"(L. N. Anisa, 2024)","plainTextFormattedCitation":"(L. N. Anisa, 2024)","previouslyFormattedCitation":"(L. N. Anisa, 2024)"},"properties":{"noteIndex":0},"schema":"https://github.com/citation-style-language/schema/raw/master/csl-citation.json"}</w:instrText>
      </w:r>
      <w:r w:rsidRPr="00045649">
        <w:rPr>
          <w:rFonts w:ascii="Footlight MT Light" w:eastAsia="Cambria" w:hAnsi="Footlight MT Light" w:cs="Cambria"/>
          <w:bCs/>
          <w:sz w:val="24"/>
          <w:szCs w:val="22"/>
          <w:lang w:val="id-ID"/>
        </w:rPr>
        <w:fldChar w:fldCharType="separate"/>
      </w:r>
      <w:r w:rsidRPr="00045649">
        <w:rPr>
          <w:rFonts w:ascii="Footlight MT Light" w:eastAsia="Cambria" w:hAnsi="Footlight MT Light" w:cs="Cambria"/>
          <w:bCs/>
          <w:noProof/>
          <w:sz w:val="24"/>
          <w:szCs w:val="22"/>
          <w:lang w:val="id-ID"/>
        </w:rPr>
        <w:t>(L. N. Anisa, 2024)</w:t>
      </w:r>
      <w:r w:rsidRPr="00045649">
        <w:rPr>
          <w:rFonts w:ascii="Footlight MT Light" w:eastAsia="Cambria" w:hAnsi="Footlight MT Light" w:cs="Cambria"/>
          <w:bCs/>
          <w:sz w:val="24"/>
          <w:szCs w:val="22"/>
          <w:lang w:val="id-ID"/>
        </w:rPr>
        <w:fldChar w:fldCharType="end"/>
      </w:r>
      <w:r w:rsidRPr="00045649">
        <w:rPr>
          <w:rFonts w:ascii="Footlight MT Light" w:eastAsia="Cambria" w:hAnsi="Footlight MT Light" w:cs="Cambria"/>
          <w:bCs/>
          <w:sz w:val="24"/>
          <w:szCs w:val="22"/>
          <w:lang w:val="id-ID"/>
        </w:rPr>
        <w:t xml:space="preserve"> Sebagaimana dicatat oleh Kementerian Agama, “judi online adalah musuh dalam selimut di zaman digital yang memerlukan pendekatan komprehensif melibatkan semua pihak”. Integrasi antara tafsir Al-Qur’an dan teknologi memungkinkan terciptanya ekosistem pencegahan yang holistik, di mana nilai-nilai agama diinternalisasi melalui sarana teknologi yang modern dan relevan.</w:t>
      </w:r>
    </w:p>
    <w:p w14:paraId="37834A0E" w14:textId="33648B4E" w:rsidR="004C3B16" w:rsidRPr="00045649" w:rsidRDefault="004C3B16" w:rsidP="00593697">
      <w:pPr>
        <w:widowControl w:val="0"/>
        <w:autoSpaceDE w:val="0"/>
        <w:autoSpaceDN w:val="0"/>
        <w:ind w:firstLine="567"/>
        <w:jc w:val="both"/>
        <w:rPr>
          <w:rFonts w:ascii="Footlight MT Light" w:eastAsia="Cambria" w:hAnsi="Footlight MT Light" w:cs="Cambria"/>
          <w:bCs/>
          <w:sz w:val="24"/>
          <w:szCs w:val="22"/>
          <w:lang w:val="id-ID"/>
        </w:rPr>
      </w:pPr>
      <w:r w:rsidRPr="00045649">
        <w:rPr>
          <w:rFonts w:ascii="Footlight MT Light" w:eastAsia="Cambria" w:hAnsi="Footlight MT Light" w:cs="Cambria"/>
          <w:bCs/>
          <w:sz w:val="24"/>
          <w:szCs w:val="22"/>
          <w:lang w:val="id-ID"/>
        </w:rPr>
        <w:t>Perkembangan teknologi digital telah menciptakan bentuk-bentuk perjudian baru yang tidak ada pada masa klasik, seperti judi online, taruhan esports, crypto gambling, dan berbagai bentuk judi digital lainnya.</w:t>
      </w:r>
      <w:r w:rsidRPr="00045649">
        <w:rPr>
          <w:rFonts w:ascii="Footlight MT Light" w:eastAsia="Cambria" w:hAnsi="Footlight MT Light" w:cs="Cambria"/>
          <w:bCs/>
          <w:sz w:val="24"/>
          <w:szCs w:val="22"/>
          <w:lang w:val="id-ID"/>
        </w:rPr>
        <w:fldChar w:fldCharType="begin" w:fldLock="1"/>
      </w:r>
      <w:r w:rsidRPr="00045649">
        <w:rPr>
          <w:rFonts w:ascii="Footlight MT Light" w:eastAsia="Cambria" w:hAnsi="Footlight MT Light" w:cs="Cambria"/>
          <w:bCs/>
          <w:sz w:val="24"/>
          <w:szCs w:val="22"/>
          <w:lang w:val="id-ID"/>
        </w:rPr>
        <w:instrText>ADDIN CSL_CITATION {"citationItems":[{"id":"ITEM-1","itemData":{"ISSN":"2807-4238","author":[{"dropping-particle":"","family":"Hermawan","given":"Nofa","non-dropping-particle":"","parse-names":false,"suffix":""},{"dropping-particle":"","family":"Yetti","given":"Yetti","non-dropping-particle":"","parse-names":false,"suffix":""},{"dropping-particle":"","family":"Afrita","given":"Indra","non-dropping-particle":"","parse-names":false,"suffix":""}],"container-title":"Innovative: Journal Of Social Science Research","id":"ITEM-1","issue":"6","issued":{"date-parts":[["2024"]]},"page":"7630-7646","title":"Penegakan Hukum Terhadap Tindak Pidana Perjudian Jenis Permainan Secara Online","type":"article-journal","volume":"4"},"uris":["http://www.mendeley.com/documents/?uuid=cf48abee-b44c-413d-b3b0-5709c8843ece"]}],"mendeley":{"formattedCitation":"(Hermawan et al., 2024)","plainTextFormattedCitation":"(Hermawan et al., 2024)"},"properties":{"noteIndex":0},"schema":"https://github.com/citation-style-language/schema/raw/master/csl-citation.json"}</w:instrText>
      </w:r>
      <w:r w:rsidRPr="00045649">
        <w:rPr>
          <w:rFonts w:ascii="Footlight MT Light" w:eastAsia="Cambria" w:hAnsi="Footlight MT Light" w:cs="Cambria"/>
          <w:bCs/>
          <w:sz w:val="24"/>
          <w:szCs w:val="22"/>
          <w:lang w:val="id-ID"/>
        </w:rPr>
        <w:fldChar w:fldCharType="separate"/>
      </w:r>
      <w:r w:rsidRPr="00045649">
        <w:rPr>
          <w:rFonts w:ascii="Footlight MT Light" w:eastAsia="Cambria" w:hAnsi="Footlight MT Light" w:cs="Cambria"/>
          <w:bCs/>
          <w:noProof/>
          <w:sz w:val="24"/>
          <w:szCs w:val="22"/>
          <w:lang w:val="id-ID"/>
        </w:rPr>
        <w:t>(Hermawan et al., 2024)</w:t>
      </w:r>
      <w:r w:rsidRPr="00045649">
        <w:rPr>
          <w:rFonts w:ascii="Footlight MT Light" w:eastAsia="Cambria" w:hAnsi="Footlight MT Light" w:cs="Cambria"/>
          <w:bCs/>
          <w:sz w:val="24"/>
          <w:szCs w:val="22"/>
          <w:lang w:val="id-ID"/>
        </w:rPr>
        <w:fldChar w:fldCharType="end"/>
      </w:r>
      <w:r w:rsidRPr="00045649">
        <w:rPr>
          <w:rFonts w:ascii="Footlight MT Light" w:eastAsia="Cambria" w:hAnsi="Footlight MT Light" w:cs="Cambria"/>
          <w:bCs/>
          <w:sz w:val="24"/>
          <w:szCs w:val="22"/>
          <w:lang w:val="id-ID"/>
        </w:rPr>
        <w:t xml:space="preserve"> Fenomena ini menimbulkan pertanyaan penting tentang relevansi konsep maisir dalam Al-Qur’an terhadap bentuk-bentuk perjudian modern ini. Tafsir kontemporer memberikan kerangka kerja yang penting untuk memahami bagaimana makna maisir dapat disesuaikan dengan konteks digital tanpa mengorbankan esensi larangan tersebut.</w:t>
      </w:r>
    </w:p>
    <w:p w14:paraId="6354A96E" w14:textId="77777777" w:rsidR="00367C82" w:rsidRDefault="00367C82" w:rsidP="00367C82">
      <w:pPr>
        <w:widowControl w:val="0"/>
        <w:autoSpaceDE w:val="0"/>
        <w:autoSpaceDN w:val="0"/>
        <w:ind w:firstLine="567"/>
        <w:jc w:val="both"/>
        <w:rPr>
          <w:rFonts w:ascii="Footlight MT Light" w:eastAsia="Cambria" w:hAnsi="Footlight MT Light" w:cs="Cambria"/>
          <w:bCs/>
          <w:sz w:val="24"/>
          <w:szCs w:val="22"/>
        </w:rPr>
      </w:pPr>
      <w:r w:rsidRPr="00367C82">
        <w:rPr>
          <w:rFonts w:ascii="Footlight MT Light" w:eastAsia="Cambria" w:hAnsi="Footlight MT Light" w:cs="Cambria"/>
          <w:bCs/>
          <w:sz w:val="24"/>
          <w:szCs w:val="22"/>
        </w:rPr>
        <w:t xml:space="preserve">Strategi pencegahan maisir </w:t>
      </w:r>
      <w:r w:rsidRPr="00367C82">
        <w:rPr>
          <w:rFonts w:ascii="Footlight MT Light" w:eastAsia="Cambria" w:hAnsi="Footlight MT Light" w:cs="Cambria"/>
          <w:bCs/>
          <w:sz w:val="24"/>
          <w:szCs w:val="22"/>
          <w:lang w:val="id-ID"/>
        </w:rPr>
        <w:t>dalam</w:t>
      </w:r>
      <w:r w:rsidRPr="00367C82">
        <w:rPr>
          <w:rFonts w:ascii="Footlight MT Light" w:eastAsia="Cambria" w:hAnsi="Footlight MT Light" w:cs="Cambria"/>
          <w:bCs/>
          <w:sz w:val="24"/>
          <w:szCs w:val="22"/>
        </w:rPr>
        <w:t xml:space="preserve"> konteks digital dapat dikembangkan melalui pendekatan </w:t>
      </w:r>
      <w:r w:rsidRPr="00367C82">
        <w:rPr>
          <w:rFonts w:ascii="Footlight MT Light" w:eastAsia="Cambria" w:hAnsi="Footlight MT Light" w:cs="Cambria"/>
          <w:bCs/>
          <w:sz w:val="24"/>
          <w:szCs w:val="22"/>
        </w:rPr>
        <w:lastRenderedPageBreak/>
        <w:t>yang kontekstual, edukatif, kolaboratif, praktis, dan partisipatif. Pendekatan kontekstual dilakukan dengan menyesuaikan penjelasan tentang maisir dengan pengalaman generasi digital, seperti judi online, taruhan esports, dan bentuk perjudian berbasis teknologi lainnya. Penggunaan teknologi edukatif juga perlu dikembangkan melalui video animasi, infografis interaktif, aplikasi pembelajaran, dan game edukatif agar pemahaman tentang maisir lebih mudah diterima. Selain itu, kolaborasi multidisipliner antara ulama, ahli tafsir, pakar teknologi, psikolog, dan sosiolog penting untuk membangun pemahaman yang utuh tentang maisir dalam ruang digital. Pendekatan praktis dapat diterapkan melalui literasi digital, penggunaan aplikasi pemblokiran situs judi, serta pembentukan kebiasaan digital yang sehat. Generasi muda juga perlu dilibatkan secara aktif dalam proses penafsiran dan pengembangan solusi karena mereka memiliki pengalaman langsung serta pemahaman yang kuat terhadap dinamika dunia digital.</w:t>
      </w:r>
    </w:p>
    <w:p w14:paraId="7D2DFC84" w14:textId="77777777" w:rsidR="00367C82" w:rsidRDefault="004C3B16" w:rsidP="00367C82">
      <w:pPr>
        <w:widowControl w:val="0"/>
        <w:autoSpaceDE w:val="0"/>
        <w:autoSpaceDN w:val="0"/>
        <w:ind w:firstLine="567"/>
        <w:jc w:val="both"/>
        <w:rPr>
          <w:rFonts w:ascii="Footlight MT Light" w:eastAsia="Cambria" w:hAnsi="Footlight MT Light" w:cs="Cambria"/>
          <w:bCs/>
          <w:sz w:val="24"/>
          <w:szCs w:val="22"/>
          <w:lang w:val="id-ID"/>
        </w:rPr>
      </w:pPr>
      <w:r w:rsidRPr="00045649">
        <w:rPr>
          <w:rFonts w:ascii="Footlight MT Light" w:eastAsia="Cambria" w:hAnsi="Footlight MT Light" w:cs="Cambria"/>
          <w:bCs/>
          <w:sz w:val="24"/>
          <w:szCs w:val="22"/>
          <w:lang w:val="id-ID"/>
        </w:rPr>
        <w:t xml:space="preserve">Perkembangan teknologi digital yang begitu pesat dapat dimanfaatkan secara efektif dalam pemberantasan judi online. Salah satu teknologi utama yang digunakan adalah </w:t>
      </w:r>
      <w:r w:rsidRPr="00045649">
        <w:rPr>
          <w:rFonts w:ascii="Footlight MT Light" w:eastAsia="Cambria" w:hAnsi="Footlight MT Light" w:cs="Cambria"/>
          <w:bCs/>
          <w:i/>
          <w:iCs/>
          <w:sz w:val="24"/>
          <w:szCs w:val="22"/>
          <w:lang w:val="id-ID"/>
        </w:rPr>
        <w:t>Artificial Intelligence</w:t>
      </w:r>
      <w:r w:rsidRPr="00045649">
        <w:rPr>
          <w:rFonts w:ascii="Footlight MT Light" w:eastAsia="Cambria" w:hAnsi="Footlight MT Light" w:cs="Cambria"/>
          <w:bCs/>
          <w:sz w:val="24"/>
          <w:szCs w:val="22"/>
          <w:lang w:val="id-ID"/>
        </w:rPr>
        <w:t xml:space="preserve"> (AI) dan machine learning yang memiliki kemampuan untuk mendeteksi pola transaksi keuangan mencurigakan. Sistem ini dapat mengenali karakteristik transaksi khas judi online, seperti frekuensi tinggi dalam waktu singkat atau pola pengiriman dana yang berulang antar akun tertentu. Berdasarkan laporan Kementerian Komunikasi dan Digital, penerapan teknologi berbasis AI berhasil mengidentifikasi dan menindak lebih dari 1,3 juta konten terkait judi dan pornografi daring hingga Maret 2025. Hal ini membuktikan bahwa teknologi mampu menjadi garda terdepan dalam meminimalisasi penyebaran situs-situs ilegal secara masif dan cepat.</w:t>
      </w:r>
    </w:p>
    <w:p w14:paraId="5120E9D6" w14:textId="08A2B97F" w:rsidR="004C3B16" w:rsidRPr="00045649" w:rsidRDefault="004C3B16" w:rsidP="00367C82">
      <w:pPr>
        <w:widowControl w:val="0"/>
        <w:autoSpaceDE w:val="0"/>
        <w:autoSpaceDN w:val="0"/>
        <w:ind w:firstLine="567"/>
        <w:jc w:val="both"/>
        <w:rPr>
          <w:rFonts w:ascii="Footlight MT Light" w:eastAsia="Cambria" w:hAnsi="Footlight MT Light" w:cs="Cambria"/>
          <w:bCs/>
          <w:sz w:val="24"/>
          <w:szCs w:val="22"/>
          <w:lang w:val="id-ID"/>
        </w:rPr>
      </w:pPr>
      <w:r w:rsidRPr="00045649">
        <w:rPr>
          <w:rFonts w:ascii="Footlight MT Light" w:eastAsia="Cambria" w:hAnsi="Footlight MT Light" w:cs="Cambria"/>
          <w:bCs/>
          <w:sz w:val="24"/>
          <w:szCs w:val="22"/>
          <w:lang w:val="id-ID"/>
        </w:rPr>
        <w:t xml:space="preserve">Pemanfaatan teknologi dalam pencegahan judi online terbukti mampu memberikan hasil yang nyata dalam menekan angka kasus dan transaksi di Indonesia. Inovasi berbasis AI, NLP, </w:t>
      </w:r>
      <w:r w:rsidRPr="00045649">
        <w:rPr>
          <w:rFonts w:ascii="Footlight MT Light" w:eastAsia="Cambria" w:hAnsi="Footlight MT Light" w:cs="Cambria"/>
          <w:bCs/>
          <w:i/>
          <w:iCs/>
          <w:sz w:val="24"/>
          <w:szCs w:val="22"/>
          <w:lang w:val="id-ID"/>
        </w:rPr>
        <w:t>blockchain</w:t>
      </w:r>
      <w:r w:rsidRPr="00045649">
        <w:rPr>
          <w:rFonts w:ascii="Footlight MT Light" w:eastAsia="Cambria" w:hAnsi="Footlight MT Light" w:cs="Cambria"/>
          <w:bCs/>
          <w:sz w:val="24"/>
          <w:szCs w:val="22"/>
          <w:lang w:val="id-ID"/>
        </w:rPr>
        <w:t>, dan analisis prediktif telah mengubah paradigma penegakan hukum dari reaktif menjadi proaktif. Namun, efektivitas jangka panjangnya hanya dapat terwujud apabila diiringi oleh pendekatan moral dan spiritual yang berakar pada nilai-nilai Islam.</w:t>
      </w:r>
      <w:r w:rsidR="00367C82">
        <w:rPr>
          <w:rFonts w:ascii="Footlight MT Light" w:eastAsia="Cambria" w:hAnsi="Footlight MT Light" w:cs="Cambria"/>
          <w:bCs/>
          <w:sz w:val="24"/>
          <w:szCs w:val="22"/>
          <w:lang w:val="id-ID"/>
        </w:rPr>
        <w:t xml:space="preserve"> </w:t>
      </w:r>
      <w:r w:rsidRPr="00045649">
        <w:rPr>
          <w:rFonts w:ascii="Footlight MT Light" w:eastAsia="Cambria" w:hAnsi="Footlight MT Light" w:cs="Cambria"/>
          <w:bCs/>
          <w:sz w:val="24"/>
          <w:szCs w:val="22"/>
          <w:lang w:val="id-ID"/>
        </w:rPr>
        <w:t xml:space="preserve">Dari sisi teknologi penegakan hukum, Polda Sulsel memanfaatkan sistem </w:t>
      </w:r>
      <w:r w:rsidRPr="00045649">
        <w:rPr>
          <w:rFonts w:ascii="Footlight MT Light" w:eastAsia="Cambria" w:hAnsi="Footlight MT Light" w:cs="Cambria"/>
          <w:bCs/>
          <w:i/>
          <w:iCs/>
          <w:sz w:val="24"/>
          <w:szCs w:val="22"/>
          <w:lang w:val="id-ID"/>
        </w:rPr>
        <w:t>Cyber</w:t>
      </w:r>
      <w:r w:rsidRPr="00045649">
        <w:rPr>
          <w:rFonts w:ascii="Footlight MT Light" w:eastAsia="Cambria" w:hAnsi="Footlight MT Light" w:cs="Cambria"/>
          <w:bCs/>
          <w:sz w:val="24"/>
          <w:szCs w:val="22"/>
          <w:lang w:val="id-ID"/>
        </w:rPr>
        <w:t xml:space="preserve"> Patrol yang terhubung dengan Siber Bareskrim Polri. Kerja sama teknis dengan platform digital seperti Meta, Google, dan Telegram memungkinkan take down konten perjudian lebih cepat dan masif. Dalam tiga kuartal terakhir, lebih dari 2.000 domain dan 150 akun media sosial telah diajukan untuk pemblokiran. Temuan ini memperkuat urgensi integrasi antara hukum, teknologi, dan pemahaman keagamaan dalam upaya penanggulangan judi online secara sistematis.</w:t>
      </w:r>
    </w:p>
    <w:p w14:paraId="4EF0D128" w14:textId="76B78A0F" w:rsidR="00D962E0" w:rsidRPr="00045649" w:rsidRDefault="004C3B16" w:rsidP="00367C82">
      <w:pPr>
        <w:ind w:firstLine="567"/>
        <w:jc w:val="both"/>
        <w:rPr>
          <w:rFonts w:ascii="Footlight MT Light" w:eastAsia="Gentium Basic" w:hAnsi="Footlight MT Light" w:cs="Gentium Basic"/>
          <w:b/>
          <w:sz w:val="24"/>
          <w:szCs w:val="24"/>
          <w:lang w:val="id-ID"/>
        </w:rPr>
      </w:pPr>
      <w:r w:rsidRPr="00045649">
        <w:rPr>
          <w:rFonts w:ascii="Footlight MT Light" w:eastAsia="Cambria" w:hAnsi="Footlight MT Light" w:cs="Cambria"/>
          <w:bCs/>
          <w:sz w:val="24"/>
          <w:szCs w:val="22"/>
          <w:lang w:val="id-ID"/>
        </w:rPr>
        <w:tab/>
        <w:t>Pendekatan integratif ini memperlihatkan bahwa teknologi bukan sekadar alat kontrol digital, tetapi juga instrumen untuk menegakkan prinsip keadilan, kemaslahatan, dan kebersihan moral umat. Dengan kolaborasi yang berkelanjutan antara pemerintah, lembaga keagamaan, dan sektor teknologi, Indonesia berpotensi menjadi model negara yang mampu menggabungkan kemajuan digital dengan nilai-nilai syariah dalam menjaga keamanan dan etika di ruang siber.</w:t>
      </w:r>
      <w:r w:rsidRPr="00045649">
        <w:rPr>
          <w:rFonts w:ascii="Footlight MT Light" w:eastAsia="Cambria" w:hAnsi="Footlight MT Light" w:cs="Cambria"/>
          <w:bCs/>
          <w:sz w:val="24"/>
          <w:szCs w:val="22"/>
          <w:lang w:val="id-ID"/>
        </w:rPr>
        <w:cr/>
      </w:r>
    </w:p>
    <w:p w14:paraId="0794B800" w14:textId="4746B97F" w:rsidR="00D962E0" w:rsidRPr="00045649" w:rsidRDefault="00410F8E">
      <w:pPr>
        <w:jc w:val="both"/>
        <w:rPr>
          <w:rFonts w:ascii="Footlight MT Light" w:eastAsia="Gentium Basic" w:hAnsi="Footlight MT Light" w:cs="Gentium Basic"/>
          <w:b/>
          <w:sz w:val="24"/>
          <w:szCs w:val="24"/>
        </w:rPr>
      </w:pPr>
      <w:r w:rsidRPr="00045649">
        <w:rPr>
          <w:rFonts w:ascii="Footlight MT Light" w:eastAsia="Gentium Basic" w:hAnsi="Footlight MT Light" w:cs="Gentium Basic"/>
          <w:b/>
          <w:sz w:val="24"/>
          <w:szCs w:val="24"/>
        </w:rPr>
        <w:t xml:space="preserve">KESIMPULAN DAN SARAN </w:t>
      </w:r>
    </w:p>
    <w:p w14:paraId="582441EA" w14:textId="7B88B9A4" w:rsidR="00D962E0" w:rsidRPr="00045649" w:rsidRDefault="009B71EA" w:rsidP="00367C82">
      <w:pPr>
        <w:widowControl w:val="0"/>
        <w:autoSpaceDE w:val="0"/>
        <w:autoSpaceDN w:val="0"/>
        <w:ind w:firstLine="567"/>
        <w:jc w:val="both"/>
        <w:rPr>
          <w:rFonts w:ascii="Footlight MT Light" w:eastAsia="Gentium Basic" w:hAnsi="Footlight MT Light" w:cs="Gentium Basic"/>
          <w:b/>
          <w:sz w:val="24"/>
          <w:szCs w:val="24"/>
        </w:rPr>
      </w:pPr>
      <w:r w:rsidRPr="00045649">
        <w:rPr>
          <w:rFonts w:ascii="Footlight MT Light" w:eastAsia="Cambria" w:hAnsi="Footlight MT Light" w:cs="Cambria"/>
          <w:sz w:val="22"/>
          <w:szCs w:val="22"/>
          <w:lang w:val="en-US"/>
        </w:rPr>
        <w:tab/>
      </w:r>
      <w:r w:rsidR="004C3B16" w:rsidRPr="00045649">
        <w:rPr>
          <w:rFonts w:ascii="Footlight MT Light" w:eastAsia="Cambria" w:hAnsi="Footlight MT Light" w:cs="Cambria"/>
          <w:sz w:val="24"/>
          <w:szCs w:val="24"/>
          <w:lang w:val="en-US"/>
        </w:rPr>
        <w:t>Penelitian ini menyimpulkan bahwa kejahatan judi online di Provinsi Sulawesi Selatan terus mengalami peningkatan signifikan dengan pola yang semakin kompleks, melibatkan media sosial, chip game, dompet digital anonim, dan jaringan lintas wilayah. Dari perspektif tafsir Al-Qur’an, praktik judi online secara substansial tetap tergolong maisir yang diharamkan sebagaimana ditegaskan dalam Surah Al-Baqarah ayat 219 serta Al-M</w:t>
      </w:r>
      <w:r w:rsidR="004C3B16" w:rsidRPr="00045649">
        <w:rPr>
          <w:rFonts w:ascii="Cambria" w:eastAsia="Cambria" w:hAnsi="Cambria" w:cs="Cambria"/>
          <w:sz w:val="24"/>
          <w:szCs w:val="24"/>
          <w:lang w:val="en-US"/>
        </w:rPr>
        <w:t>ā</w:t>
      </w:r>
      <w:r w:rsidR="004C3B16" w:rsidRPr="00045649">
        <w:rPr>
          <w:rFonts w:ascii="Footlight MT Light" w:eastAsia="Cambria" w:hAnsi="Footlight MT Light" w:cs="Cambria"/>
          <w:sz w:val="24"/>
          <w:szCs w:val="24"/>
          <w:lang w:val="en-US"/>
        </w:rPr>
        <w:t>idah ayat 90</w:t>
      </w:r>
      <w:r w:rsidR="004C3B16" w:rsidRPr="00045649">
        <w:rPr>
          <w:rFonts w:ascii="Footlight MT Light" w:eastAsia="Cambria" w:hAnsi="Footlight MT Light" w:cs="Footlight MT Light"/>
          <w:sz w:val="24"/>
          <w:szCs w:val="24"/>
          <w:lang w:val="en-US"/>
        </w:rPr>
        <w:t>–</w:t>
      </w:r>
      <w:r w:rsidR="004C3B16" w:rsidRPr="00045649">
        <w:rPr>
          <w:rFonts w:ascii="Footlight MT Light" w:eastAsia="Cambria" w:hAnsi="Footlight MT Light" w:cs="Cambria"/>
          <w:sz w:val="24"/>
          <w:szCs w:val="24"/>
          <w:lang w:val="en-US"/>
        </w:rPr>
        <w:t xml:space="preserve">91 karena mengandung unsur </w:t>
      </w:r>
      <w:r w:rsidR="004C3B16" w:rsidRPr="00045649">
        <w:rPr>
          <w:rFonts w:ascii="Footlight MT Light" w:eastAsia="Cambria" w:hAnsi="Footlight MT Light" w:cs="Cambria"/>
          <w:i/>
          <w:iCs/>
          <w:sz w:val="24"/>
          <w:szCs w:val="24"/>
          <w:lang w:val="en-US"/>
        </w:rPr>
        <w:t>gharar</w:t>
      </w:r>
      <w:r w:rsidR="004C3B16" w:rsidRPr="00045649">
        <w:rPr>
          <w:rFonts w:ascii="Footlight MT Light" w:eastAsia="Cambria" w:hAnsi="Footlight MT Light" w:cs="Cambria"/>
          <w:sz w:val="24"/>
          <w:szCs w:val="24"/>
          <w:lang w:val="en-US"/>
        </w:rPr>
        <w:t xml:space="preserve">, eksploitasi, dan kerusakan moral. Penelitian ini menegaskan bahwa penanggulangan judi online tidak cukup berbasis hukum semata, tetapi memerlukan pendekatan integratif melalui penguatan </w:t>
      </w:r>
      <w:r w:rsidR="004C3B16" w:rsidRPr="00045649">
        <w:rPr>
          <w:rFonts w:ascii="Footlight MT Light" w:eastAsia="Cambria" w:hAnsi="Footlight MT Light" w:cs="Cambria"/>
          <w:i/>
          <w:iCs/>
          <w:sz w:val="24"/>
          <w:szCs w:val="24"/>
          <w:lang w:val="en-US"/>
        </w:rPr>
        <w:t>Islamic Techno-Ethics</w:t>
      </w:r>
      <w:r w:rsidR="004C3B16" w:rsidRPr="00045649">
        <w:rPr>
          <w:rFonts w:ascii="Footlight MT Light" w:eastAsia="Cambria" w:hAnsi="Footlight MT Light" w:cs="Cambria"/>
          <w:sz w:val="24"/>
          <w:szCs w:val="24"/>
          <w:lang w:val="en-US"/>
        </w:rPr>
        <w:t xml:space="preserve"> yang memadukan nilai Qur’ani, literasi digital, dan pemanfaatan teknologi sebagai strategi pencegahan yang berkelanjutan.</w:t>
      </w:r>
    </w:p>
    <w:p w14:paraId="02019749" w14:textId="77777777" w:rsidR="00D962E0" w:rsidRPr="00045649" w:rsidRDefault="00D962E0">
      <w:pPr>
        <w:jc w:val="both"/>
        <w:rPr>
          <w:rFonts w:ascii="Footlight MT Light" w:eastAsia="Gentium Basic" w:hAnsi="Footlight MT Light" w:cs="Gentium Basic"/>
          <w:b/>
          <w:sz w:val="24"/>
          <w:szCs w:val="24"/>
        </w:rPr>
      </w:pPr>
    </w:p>
    <w:p w14:paraId="5EE3A0BB" w14:textId="26E4A3A1" w:rsidR="00D962E0" w:rsidRPr="00045649" w:rsidRDefault="00410F8E">
      <w:pPr>
        <w:jc w:val="both"/>
        <w:rPr>
          <w:rFonts w:ascii="Footlight MT Light" w:eastAsia="Gentium Basic" w:hAnsi="Footlight MT Light" w:cs="Gentium Basic"/>
          <w:b/>
          <w:sz w:val="24"/>
          <w:szCs w:val="24"/>
        </w:rPr>
      </w:pPr>
      <w:r w:rsidRPr="00045649">
        <w:rPr>
          <w:rFonts w:ascii="Footlight MT Light" w:eastAsia="Gentium Basic" w:hAnsi="Footlight MT Light" w:cs="Gentium Basic"/>
          <w:b/>
          <w:sz w:val="24"/>
          <w:szCs w:val="24"/>
        </w:rPr>
        <w:t xml:space="preserve">UCAPAN TERIMA KASIH </w:t>
      </w:r>
    </w:p>
    <w:p w14:paraId="79BC4C2A" w14:textId="75CF25A8" w:rsidR="00D962E0" w:rsidRDefault="009B71EA" w:rsidP="00367C82">
      <w:pPr>
        <w:widowControl w:val="0"/>
        <w:autoSpaceDE w:val="0"/>
        <w:autoSpaceDN w:val="0"/>
        <w:ind w:firstLine="567"/>
        <w:jc w:val="both"/>
        <w:rPr>
          <w:rFonts w:ascii="Footlight MT Light" w:eastAsia="Gentium Basic" w:hAnsi="Footlight MT Light" w:cs="Gentium Basic"/>
          <w:sz w:val="24"/>
          <w:szCs w:val="24"/>
        </w:rPr>
      </w:pPr>
      <w:r w:rsidRPr="00045649">
        <w:rPr>
          <w:rFonts w:ascii="Footlight MT Light" w:eastAsia="Gentium Basic" w:hAnsi="Footlight MT Light" w:cs="Gentium Basic"/>
          <w:sz w:val="24"/>
          <w:szCs w:val="24"/>
        </w:rPr>
        <w:t xml:space="preserve">Penulis </w:t>
      </w:r>
      <w:r w:rsidRPr="00367C82">
        <w:rPr>
          <w:rFonts w:ascii="Footlight MT Light" w:eastAsia="Cambria" w:hAnsi="Footlight MT Light" w:cs="Cambria"/>
          <w:sz w:val="24"/>
          <w:szCs w:val="24"/>
          <w:lang w:val="en-US"/>
        </w:rPr>
        <w:t>menyampaikan</w:t>
      </w:r>
      <w:r w:rsidRPr="00045649">
        <w:rPr>
          <w:rFonts w:ascii="Footlight MT Light" w:eastAsia="Gentium Basic" w:hAnsi="Footlight MT Light" w:cs="Gentium Basic"/>
          <w:sz w:val="24"/>
          <w:szCs w:val="24"/>
        </w:rPr>
        <w:t xml:space="preserve"> terima kasih dan penghargaan setinggi-tingginya kepada segenap pimpinan Institut Agama Islam Negeri Parepare atas kebijakan, dukungan moril, serta bantuan materil yang telah diberikan, sehingga penelitian dan penulisan naskah ini dapat diselesaikan dengan baik.</w:t>
      </w:r>
    </w:p>
    <w:p w14:paraId="6EE92A47" w14:textId="77777777" w:rsidR="00367C82" w:rsidRPr="00045649" w:rsidRDefault="00367C82" w:rsidP="00367C82">
      <w:pPr>
        <w:widowControl w:val="0"/>
        <w:autoSpaceDE w:val="0"/>
        <w:autoSpaceDN w:val="0"/>
        <w:ind w:firstLine="567"/>
        <w:jc w:val="both"/>
        <w:rPr>
          <w:rFonts w:ascii="Footlight MT Light" w:eastAsia="Gentium Basic" w:hAnsi="Footlight MT Light" w:cs="Gentium Basic"/>
          <w:sz w:val="24"/>
          <w:szCs w:val="24"/>
        </w:rPr>
      </w:pPr>
    </w:p>
    <w:p w14:paraId="03FE9586" w14:textId="1E4032AF" w:rsidR="00D962E0" w:rsidRPr="00045649" w:rsidRDefault="00410F8E" w:rsidP="009B71EA">
      <w:pPr>
        <w:jc w:val="both"/>
        <w:rPr>
          <w:rFonts w:ascii="Footlight MT Light" w:eastAsia="Gentium Basic" w:hAnsi="Footlight MT Light" w:cs="Gentium Basic"/>
          <w:b/>
          <w:sz w:val="24"/>
          <w:szCs w:val="24"/>
        </w:rPr>
      </w:pPr>
      <w:r w:rsidRPr="00045649">
        <w:rPr>
          <w:rFonts w:ascii="Footlight MT Light" w:eastAsia="Gentium Basic" w:hAnsi="Footlight MT Light" w:cs="Gentium Basic"/>
          <w:b/>
          <w:sz w:val="24"/>
          <w:szCs w:val="24"/>
        </w:rPr>
        <w:t xml:space="preserve">DAFTAR PUSTAKA </w:t>
      </w:r>
    </w:p>
    <w:p w14:paraId="4B2EAB81"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cs="Cambria"/>
          <w:b/>
          <w:bCs/>
          <w:sz w:val="24"/>
          <w:szCs w:val="24"/>
          <w:lang w:val="en-US"/>
        </w:rPr>
        <w:fldChar w:fldCharType="begin" w:fldLock="1"/>
      </w:r>
      <w:r w:rsidRPr="00045649">
        <w:rPr>
          <w:rFonts w:ascii="Footlight MT Light" w:eastAsia="Cambria" w:hAnsi="Footlight MT Light" w:cs="Cambria"/>
          <w:b/>
          <w:bCs/>
          <w:sz w:val="24"/>
          <w:szCs w:val="24"/>
          <w:lang w:val="en-US"/>
        </w:rPr>
        <w:instrText xml:space="preserve">ADDIN Mendeley Bibliography CSL_BIBLIOGRAPHY </w:instrText>
      </w:r>
      <w:r w:rsidRPr="00045649">
        <w:rPr>
          <w:rFonts w:ascii="Footlight MT Light" w:eastAsia="Cambria" w:hAnsi="Footlight MT Light" w:cs="Cambria"/>
          <w:b/>
          <w:bCs/>
          <w:sz w:val="24"/>
          <w:szCs w:val="24"/>
          <w:lang w:val="en-US"/>
        </w:rPr>
        <w:fldChar w:fldCharType="separate"/>
      </w:r>
      <w:r w:rsidRPr="00045649">
        <w:rPr>
          <w:rFonts w:ascii="Footlight MT Light" w:eastAsia="Cambria" w:hAnsi="Footlight MT Light"/>
          <w:noProof/>
          <w:sz w:val="24"/>
          <w:szCs w:val="24"/>
          <w:lang w:val="en-US"/>
        </w:rPr>
        <w:t xml:space="preserve">Anisa, L. N. (2024). Judi Online Dalam Perspektif Maqashid Syariah. </w:t>
      </w:r>
      <w:r w:rsidRPr="00045649">
        <w:rPr>
          <w:rFonts w:ascii="Footlight MT Light" w:eastAsia="Cambria" w:hAnsi="Footlight MT Light"/>
          <w:i/>
          <w:iCs/>
          <w:noProof/>
          <w:sz w:val="24"/>
          <w:szCs w:val="24"/>
          <w:lang w:val="en-US"/>
        </w:rPr>
        <w:t>Journal of Islamic Business Management Studies (JIBMS)</w:t>
      </w:r>
      <w:r w:rsidRPr="00045649">
        <w:rPr>
          <w:rFonts w:ascii="Footlight MT Light" w:eastAsia="Cambria" w:hAnsi="Footlight MT Light"/>
          <w:noProof/>
          <w:sz w:val="24"/>
          <w:szCs w:val="24"/>
          <w:lang w:val="en-US"/>
        </w:rPr>
        <w:t xml:space="preserve">, </w:t>
      </w:r>
      <w:r w:rsidRPr="00045649">
        <w:rPr>
          <w:rFonts w:ascii="Footlight MT Light" w:eastAsia="Cambria" w:hAnsi="Footlight MT Light"/>
          <w:i/>
          <w:iCs/>
          <w:noProof/>
          <w:sz w:val="24"/>
          <w:szCs w:val="24"/>
          <w:lang w:val="en-US"/>
        </w:rPr>
        <w:t>5</w:t>
      </w:r>
      <w:r w:rsidRPr="00045649">
        <w:rPr>
          <w:rFonts w:ascii="Footlight MT Light" w:eastAsia="Cambria" w:hAnsi="Footlight MT Light"/>
          <w:noProof/>
          <w:sz w:val="24"/>
          <w:szCs w:val="24"/>
          <w:lang w:val="en-US"/>
        </w:rPr>
        <w:t>(1), 1–21.</w:t>
      </w:r>
    </w:p>
    <w:p w14:paraId="58765412"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Fauzi, I., Salatiga, U. I., Sultan, U., &amp; Tirtayasa, A. (2024). </w:t>
      </w:r>
      <w:r w:rsidRPr="00045649">
        <w:rPr>
          <w:rFonts w:ascii="Footlight MT Light" w:eastAsia="Cambria" w:hAnsi="Footlight MT Light"/>
          <w:i/>
          <w:iCs/>
          <w:noProof/>
          <w:sz w:val="24"/>
          <w:szCs w:val="24"/>
          <w:lang w:val="en-US"/>
        </w:rPr>
        <w:t>Judi Online sebagai Problematika yang Menggerogoti Dimensi Kehidupan Bersarang Dibalik Kemajuan Teknologi Digital</w:t>
      </w:r>
      <w:r w:rsidRPr="00045649">
        <w:rPr>
          <w:rFonts w:ascii="Footlight MT Light" w:eastAsia="Cambria" w:hAnsi="Footlight MT Light"/>
          <w:noProof/>
          <w:sz w:val="24"/>
          <w:szCs w:val="24"/>
          <w:lang w:val="en-US"/>
        </w:rPr>
        <w:t xml:space="preserve">. </w:t>
      </w:r>
      <w:r w:rsidRPr="00045649">
        <w:rPr>
          <w:rFonts w:ascii="Footlight MT Light" w:eastAsia="Cambria" w:hAnsi="Footlight MT Light"/>
          <w:i/>
          <w:iCs/>
          <w:noProof/>
          <w:sz w:val="24"/>
          <w:szCs w:val="24"/>
          <w:lang w:val="en-US"/>
        </w:rPr>
        <w:t>1</w:t>
      </w:r>
      <w:r w:rsidRPr="00045649">
        <w:rPr>
          <w:rFonts w:ascii="Footlight MT Light" w:eastAsia="Cambria" w:hAnsi="Footlight MT Light"/>
          <w:noProof/>
          <w:sz w:val="24"/>
          <w:szCs w:val="24"/>
          <w:lang w:val="en-US"/>
        </w:rPr>
        <w:t>(5), 250–263.</w:t>
      </w:r>
    </w:p>
    <w:p w14:paraId="4E841912"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Fayedh, M. (2025). </w:t>
      </w:r>
      <w:r w:rsidRPr="00045649">
        <w:rPr>
          <w:rFonts w:ascii="Footlight MT Light" w:eastAsia="Cambria" w:hAnsi="Footlight MT Light"/>
          <w:i/>
          <w:iCs/>
          <w:noProof/>
          <w:sz w:val="24"/>
          <w:szCs w:val="24"/>
          <w:lang w:val="en-US"/>
        </w:rPr>
        <w:t>Tafsir Tematik: Larangan Miras dan Judi dalam Al-Quran</w:t>
      </w:r>
      <w:r w:rsidRPr="00045649">
        <w:rPr>
          <w:rFonts w:ascii="Footlight MT Light" w:eastAsia="Cambria" w:hAnsi="Footlight MT Light"/>
          <w:noProof/>
          <w:sz w:val="24"/>
          <w:szCs w:val="24"/>
          <w:lang w:val="en-US"/>
        </w:rPr>
        <w:t>. https://www.kompasiana.com/muhammadfayedh5522/683341c5c925c45dcc0c8252/tafsir-tematik-larangan-miras-dan-judi-dalam-al-quran?page=all&amp;page_images=1</w:t>
      </w:r>
    </w:p>
    <w:p w14:paraId="3CC29BE9"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Fikriana, A., &amp; Irsyad, M. (2024). Pengaruh judi online terhadap kesejahteraan masyarakat Muslim perspektif fiqh siyasah. </w:t>
      </w:r>
      <w:r w:rsidRPr="00045649">
        <w:rPr>
          <w:rFonts w:ascii="Footlight MT Light" w:eastAsia="Cambria" w:hAnsi="Footlight MT Light"/>
          <w:i/>
          <w:iCs/>
          <w:noProof/>
          <w:sz w:val="24"/>
          <w:szCs w:val="24"/>
          <w:lang w:val="en-US"/>
        </w:rPr>
        <w:t>Eksekusi: Jurnal Ilmu Hukum Dan Administrasi Negara</w:t>
      </w:r>
      <w:r w:rsidRPr="00045649">
        <w:rPr>
          <w:rFonts w:ascii="Footlight MT Light" w:eastAsia="Cambria" w:hAnsi="Footlight MT Light"/>
          <w:noProof/>
          <w:sz w:val="24"/>
          <w:szCs w:val="24"/>
          <w:lang w:val="en-US"/>
        </w:rPr>
        <w:t xml:space="preserve">, </w:t>
      </w:r>
      <w:r w:rsidRPr="00045649">
        <w:rPr>
          <w:rFonts w:ascii="Footlight MT Light" w:eastAsia="Cambria" w:hAnsi="Footlight MT Light"/>
          <w:i/>
          <w:iCs/>
          <w:noProof/>
          <w:sz w:val="24"/>
          <w:szCs w:val="24"/>
          <w:lang w:val="en-US"/>
        </w:rPr>
        <w:t>2</w:t>
      </w:r>
      <w:r w:rsidRPr="00045649">
        <w:rPr>
          <w:rFonts w:ascii="Footlight MT Light" w:eastAsia="Cambria" w:hAnsi="Footlight MT Light"/>
          <w:noProof/>
          <w:sz w:val="24"/>
          <w:szCs w:val="24"/>
          <w:lang w:val="en-US"/>
        </w:rPr>
        <w:t>(1), 210–219.</w:t>
      </w:r>
    </w:p>
    <w:p w14:paraId="10E4015B"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Firmansyah, F., Febriyarni, B., &amp; Husein, M. (2024). </w:t>
      </w:r>
      <w:r w:rsidRPr="00045649">
        <w:rPr>
          <w:rFonts w:ascii="Footlight MT Light" w:eastAsia="Cambria" w:hAnsi="Footlight MT Light"/>
          <w:i/>
          <w:iCs/>
          <w:noProof/>
          <w:sz w:val="24"/>
          <w:szCs w:val="24"/>
          <w:lang w:val="en-US"/>
        </w:rPr>
        <w:t>Makna maisir dalam Al-Qur’an dan hubungannya dengan judi online</w:t>
      </w:r>
      <w:r w:rsidRPr="00045649">
        <w:rPr>
          <w:rFonts w:ascii="Footlight MT Light" w:eastAsia="Cambria" w:hAnsi="Footlight MT Light"/>
          <w:noProof/>
          <w:sz w:val="24"/>
          <w:szCs w:val="24"/>
          <w:lang w:val="en-US"/>
        </w:rPr>
        <w:t>. Institut Agama Islam negeri Curup (IAIN).</w:t>
      </w:r>
    </w:p>
    <w:p w14:paraId="1614AD05"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Fithoroini, D. (2025). </w:t>
      </w:r>
      <w:r w:rsidRPr="00045649">
        <w:rPr>
          <w:rFonts w:ascii="Footlight MT Light" w:eastAsia="Cambria" w:hAnsi="Footlight MT Light"/>
          <w:i/>
          <w:iCs/>
          <w:noProof/>
          <w:sz w:val="24"/>
          <w:szCs w:val="24"/>
          <w:lang w:val="en-US"/>
        </w:rPr>
        <w:t>Pengantar Ilmu Fikih</w:t>
      </w:r>
      <w:r w:rsidRPr="00045649">
        <w:rPr>
          <w:rFonts w:ascii="Footlight MT Light" w:eastAsia="Cambria" w:hAnsi="Footlight MT Light"/>
          <w:noProof/>
          <w:sz w:val="24"/>
          <w:szCs w:val="24"/>
          <w:lang w:val="en-US"/>
        </w:rPr>
        <w:t>. Serasi Media Teknologi.</w:t>
      </w:r>
    </w:p>
    <w:p w14:paraId="323E4BB2"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i/>
          <w:iCs/>
          <w:noProof/>
          <w:sz w:val="24"/>
          <w:szCs w:val="24"/>
          <w:lang w:val="en-US"/>
        </w:rPr>
        <w:t>GAWAT! Jumlah Fantastis Usia Anak Main Judi Online</w:t>
      </w:r>
      <w:r w:rsidRPr="00045649">
        <w:rPr>
          <w:rFonts w:ascii="Footlight MT Light" w:eastAsia="Cambria" w:hAnsi="Footlight MT Light"/>
          <w:noProof/>
          <w:sz w:val="24"/>
          <w:szCs w:val="24"/>
          <w:lang w:val="en-US"/>
        </w:rPr>
        <w:t>. (2025). https://www.ppatk.go.id/news/read/1373/gawat-jumlah-fantastis-usia-anak-main-judi-online.html#:~:text=PPATK %7C Pusat Pelaporan dan Analisis Transaksi Keuangan</w:t>
      </w:r>
    </w:p>
    <w:p w14:paraId="1AEAABF5"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Harahap, F. F., Utami, O. W., &amp; Pertiwi, Y. W. (2024). Motivasi Dalam Partisipasi Perjudian Online. </w:t>
      </w:r>
      <w:r w:rsidRPr="00045649">
        <w:rPr>
          <w:rFonts w:ascii="Footlight MT Light" w:eastAsia="Cambria" w:hAnsi="Footlight MT Light"/>
          <w:i/>
          <w:iCs/>
          <w:noProof/>
          <w:sz w:val="24"/>
          <w:szCs w:val="24"/>
          <w:lang w:val="en-US"/>
        </w:rPr>
        <w:t>Well Being: Journal Psychology</w:t>
      </w:r>
      <w:r w:rsidRPr="00045649">
        <w:rPr>
          <w:rFonts w:ascii="Footlight MT Light" w:eastAsia="Cambria" w:hAnsi="Footlight MT Light"/>
          <w:noProof/>
          <w:sz w:val="24"/>
          <w:szCs w:val="24"/>
          <w:lang w:val="en-US"/>
        </w:rPr>
        <w:t xml:space="preserve">, </w:t>
      </w:r>
      <w:r w:rsidRPr="00045649">
        <w:rPr>
          <w:rFonts w:ascii="Footlight MT Light" w:eastAsia="Cambria" w:hAnsi="Footlight MT Light"/>
          <w:i/>
          <w:iCs/>
          <w:noProof/>
          <w:sz w:val="24"/>
          <w:szCs w:val="24"/>
          <w:lang w:val="en-US"/>
        </w:rPr>
        <w:t>1</w:t>
      </w:r>
      <w:r w:rsidRPr="00045649">
        <w:rPr>
          <w:rFonts w:ascii="Footlight MT Light" w:eastAsia="Cambria" w:hAnsi="Footlight MT Light"/>
          <w:noProof/>
          <w:sz w:val="24"/>
          <w:szCs w:val="24"/>
          <w:lang w:val="en-US"/>
        </w:rPr>
        <w:t>(2), 1–11.</w:t>
      </w:r>
    </w:p>
    <w:p w14:paraId="37D383A3"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Hendrik Khoirul Muhid. (2024). </w:t>
      </w:r>
      <w:r w:rsidRPr="00045649">
        <w:rPr>
          <w:rFonts w:ascii="Footlight MT Light" w:eastAsia="Cambria" w:hAnsi="Footlight MT Light"/>
          <w:i/>
          <w:iCs/>
          <w:noProof/>
          <w:sz w:val="24"/>
          <w:szCs w:val="24"/>
          <w:lang w:val="en-US"/>
        </w:rPr>
        <w:t>Fakta-fakta Maraknya Judi Online di Indonesia, Situs Judi Online Disinyalir Milik Orang Indonesia Punya 1,5 Juta Pelanggan</w:t>
      </w:r>
      <w:r w:rsidRPr="00045649">
        <w:rPr>
          <w:rFonts w:ascii="Footlight MT Light" w:eastAsia="Cambria" w:hAnsi="Footlight MT Light"/>
          <w:noProof/>
          <w:sz w:val="24"/>
          <w:szCs w:val="24"/>
          <w:lang w:val="en-US"/>
        </w:rPr>
        <w:t>. Tempo.Com.</w:t>
      </w:r>
    </w:p>
    <w:p w14:paraId="486DCF71"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Hermawan, N., Yetti, Y., &amp; Afrita, I. (2024). Penegakan Hukum Terhadap Tindak Pidana Perjudian Jenis Permainan Secara Online. </w:t>
      </w:r>
      <w:r w:rsidRPr="00045649">
        <w:rPr>
          <w:rFonts w:ascii="Footlight MT Light" w:eastAsia="Cambria" w:hAnsi="Footlight MT Light"/>
          <w:i/>
          <w:iCs/>
          <w:noProof/>
          <w:sz w:val="24"/>
          <w:szCs w:val="24"/>
          <w:lang w:val="en-US"/>
        </w:rPr>
        <w:t>Innovative: Journal Of Social Science Research</w:t>
      </w:r>
      <w:r w:rsidRPr="00045649">
        <w:rPr>
          <w:rFonts w:ascii="Footlight MT Light" w:eastAsia="Cambria" w:hAnsi="Footlight MT Light"/>
          <w:noProof/>
          <w:sz w:val="24"/>
          <w:szCs w:val="24"/>
          <w:lang w:val="en-US"/>
        </w:rPr>
        <w:t xml:space="preserve">, </w:t>
      </w:r>
      <w:r w:rsidRPr="00045649">
        <w:rPr>
          <w:rFonts w:ascii="Footlight MT Light" w:eastAsia="Cambria" w:hAnsi="Footlight MT Light"/>
          <w:i/>
          <w:iCs/>
          <w:noProof/>
          <w:sz w:val="24"/>
          <w:szCs w:val="24"/>
          <w:lang w:val="en-US"/>
        </w:rPr>
        <w:t>4</w:t>
      </w:r>
      <w:r w:rsidRPr="00045649">
        <w:rPr>
          <w:rFonts w:ascii="Footlight MT Light" w:eastAsia="Cambria" w:hAnsi="Footlight MT Light"/>
          <w:noProof/>
          <w:sz w:val="24"/>
          <w:szCs w:val="24"/>
          <w:lang w:val="en-US"/>
        </w:rPr>
        <w:t>(6), 7630–7646.</w:t>
      </w:r>
    </w:p>
    <w:p w14:paraId="37BC09FA"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Hidayah, D. F. N., Putri, D. F., Salsabila, F., Yunaenti, S. R., Nuryanti, T., &amp; Nurjaman, A. R. (2024). Menelaah Fenomena Judi Online (Slot) Di Kalangan Mahasiswa Dalam Perspektif Hukum Islam Di Indonesia. </w:t>
      </w:r>
      <w:r w:rsidRPr="00045649">
        <w:rPr>
          <w:rFonts w:ascii="Footlight MT Light" w:eastAsia="Cambria" w:hAnsi="Footlight MT Light"/>
          <w:i/>
          <w:iCs/>
          <w:noProof/>
          <w:sz w:val="24"/>
          <w:szCs w:val="24"/>
          <w:lang w:val="en-US"/>
        </w:rPr>
        <w:t>Jurnal Kajian Agama Dan Dakwah</w:t>
      </w:r>
      <w:r w:rsidRPr="00045649">
        <w:rPr>
          <w:rFonts w:ascii="Footlight MT Light" w:eastAsia="Cambria" w:hAnsi="Footlight MT Light"/>
          <w:noProof/>
          <w:sz w:val="24"/>
          <w:szCs w:val="24"/>
          <w:lang w:val="en-US"/>
        </w:rPr>
        <w:t xml:space="preserve">, </w:t>
      </w:r>
      <w:r w:rsidRPr="00045649">
        <w:rPr>
          <w:rFonts w:ascii="Footlight MT Light" w:eastAsia="Cambria" w:hAnsi="Footlight MT Light"/>
          <w:i/>
          <w:iCs/>
          <w:noProof/>
          <w:sz w:val="24"/>
          <w:szCs w:val="24"/>
          <w:lang w:val="en-US"/>
        </w:rPr>
        <w:t>2</w:t>
      </w:r>
      <w:r w:rsidRPr="00045649">
        <w:rPr>
          <w:rFonts w:ascii="Footlight MT Light" w:eastAsia="Cambria" w:hAnsi="Footlight MT Light"/>
          <w:noProof/>
          <w:sz w:val="24"/>
          <w:szCs w:val="24"/>
          <w:lang w:val="en-US"/>
        </w:rPr>
        <w:t>(3), 1–18.</w:t>
      </w:r>
    </w:p>
    <w:p w14:paraId="43D79330"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Lubis, F. H., Pane, M., &amp; Irwansyah, I. (2023). Fenomena Judi Online di Kalangan Remaja dan Faktor penyebab Maraknya Serta Pandangan Hukum Positif dan Hukum Islam (Maqashid Syariah). </w:t>
      </w:r>
      <w:r w:rsidRPr="00045649">
        <w:rPr>
          <w:rFonts w:ascii="Footlight MT Light" w:eastAsia="Cambria" w:hAnsi="Footlight MT Light"/>
          <w:i/>
          <w:iCs/>
          <w:noProof/>
          <w:sz w:val="24"/>
          <w:szCs w:val="24"/>
          <w:lang w:val="en-US"/>
        </w:rPr>
        <w:t>Jurnal Pendidikan Dan Konseling (JPDK)</w:t>
      </w:r>
      <w:r w:rsidRPr="00045649">
        <w:rPr>
          <w:rFonts w:ascii="Footlight MT Light" w:eastAsia="Cambria" w:hAnsi="Footlight MT Light"/>
          <w:noProof/>
          <w:sz w:val="24"/>
          <w:szCs w:val="24"/>
          <w:lang w:val="en-US"/>
        </w:rPr>
        <w:t xml:space="preserve">, </w:t>
      </w:r>
      <w:r w:rsidRPr="00045649">
        <w:rPr>
          <w:rFonts w:ascii="Footlight MT Light" w:eastAsia="Cambria" w:hAnsi="Footlight MT Light"/>
          <w:i/>
          <w:iCs/>
          <w:noProof/>
          <w:sz w:val="24"/>
          <w:szCs w:val="24"/>
          <w:lang w:val="en-US"/>
        </w:rPr>
        <w:t>5</w:t>
      </w:r>
      <w:r w:rsidRPr="00045649">
        <w:rPr>
          <w:rFonts w:ascii="Footlight MT Light" w:eastAsia="Cambria" w:hAnsi="Footlight MT Light"/>
          <w:noProof/>
          <w:sz w:val="24"/>
          <w:szCs w:val="24"/>
          <w:lang w:val="en-US"/>
        </w:rPr>
        <w:t>(2), 2655–2663.</w:t>
      </w:r>
    </w:p>
    <w:p w14:paraId="40366A56"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Nurfaisah, A. S. (2024). </w:t>
      </w:r>
      <w:r w:rsidRPr="00045649">
        <w:rPr>
          <w:rFonts w:ascii="Footlight MT Light" w:eastAsia="Cambria" w:hAnsi="Footlight MT Light"/>
          <w:i/>
          <w:iCs/>
          <w:noProof/>
          <w:sz w:val="24"/>
          <w:szCs w:val="24"/>
          <w:lang w:val="en-US"/>
        </w:rPr>
        <w:t>Polda Sulsel Ajukan Pemblokiran 2.000 Situs Judi Online ke Komdigi</w:t>
      </w:r>
      <w:r w:rsidRPr="00045649">
        <w:rPr>
          <w:rFonts w:ascii="Footlight MT Light" w:eastAsia="Cambria" w:hAnsi="Footlight MT Light"/>
          <w:noProof/>
          <w:sz w:val="24"/>
          <w:szCs w:val="24"/>
          <w:lang w:val="en-US"/>
        </w:rPr>
        <w:t>. Detik Sulsel.</w:t>
      </w:r>
    </w:p>
    <w:p w14:paraId="029A2D2D"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Prof. Dr. H. Munawir K., S.Ag., M. A. (2024). </w:t>
      </w:r>
      <w:r w:rsidRPr="00045649">
        <w:rPr>
          <w:rFonts w:ascii="Footlight MT Light" w:eastAsia="Cambria" w:hAnsi="Footlight MT Light"/>
          <w:i/>
          <w:iCs/>
          <w:noProof/>
          <w:sz w:val="24"/>
          <w:szCs w:val="24"/>
          <w:lang w:val="en-US"/>
        </w:rPr>
        <w:t>”Judi Online dalam sorotan Islam</w:t>
      </w:r>
      <w:r w:rsidRPr="00045649">
        <w:rPr>
          <w:rFonts w:eastAsia="Cambria"/>
          <w:i/>
          <w:iCs/>
          <w:noProof/>
          <w:sz w:val="24"/>
          <w:szCs w:val="24"/>
          <w:lang w:val="en-US"/>
        </w:rPr>
        <w:t> </w:t>
      </w:r>
      <w:r w:rsidRPr="00045649">
        <w:rPr>
          <w:rFonts w:ascii="Footlight MT Light" w:eastAsia="Cambria" w:hAnsi="Footlight MT Light"/>
          <w:i/>
          <w:iCs/>
          <w:noProof/>
          <w:sz w:val="24"/>
          <w:szCs w:val="24"/>
          <w:lang w:val="en-US"/>
        </w:rPr>
        <w:t>: Membongkar Bahaya dan Hukum Syariah.”</w:t>
      </w:r>
      <w:r w:rsidRPr="00045649">
        <w:rPr>
          <w:rFonts w:ascii="Footlight MT Light" w:eastAsia="Cambria" w:hAnsi="Footlight MT Light"/>
          <w:noProof/>
          <w:sz w:val="24"/>
          <w:szCs w:val="24"/>
          <w:lang w:val="en-US"/>
        </w:rPr>
        <w:t>. https://uin-alauddin.ac.id/tulisan/detail/judi-online-dalam-sorotan-islam---membongkar-bahaya-dan-hukum-syariah-0724</w:t>
      </w:r>
    </w:p>
    <w:p w14:paraId="6FC3D935"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PUTRI, D. W. I. R. (2024). </w:t>
      </w:r>
      <w:r w:rsidRPr="00045649">
        <w:rPr>
          <w:rFonts w:ascii="Footlight MT Light" w:eastAsia="Cambria" w:hAnsi="Footlight MT Light"/>
          <w:i/>
          <w:iCs/>
          <w:noProof/>
          <w:sz w:val="24"/>
          <w:szCs w:val="24"/>
          <w:lang w:val="en-US"/>
        </w:rPr>
        <w:t>Konsep Perdagangan Dalam Tafsir Al-Misbah (studi terhadap pemikiran M. Quraish Shihab)</w:t>
      </w:r>
      <w:r w:rsidRPr="00045649">
        <w:rPr>
          <w:rFonts w:ascii="Footlight MT Light" w:eastAsia="Cambria" w:hAnsi="Footlight MT Light"/>
          <w:noProof/>
          <w:sz w:val="24"/>
          <w:szCs w:val="24"/>
          <w:lang w:val="en-US"/>
        </w:rPr>
        <w:t>. IAIN ParePare.</w:t>
      </w:r>
    </w:p>
    <w:p w14:paraId="4770B97F"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Rahmah, N., Tarigan, A. A., &amp; Nasution, Y. S. J. (2024). Larangan Jual Beli Dalam Perspektif Qur’an Surah Al Maidah Ayat 90-91. </w:t>
      </w:r>
      <w:r w:rsidRPr="00045649">
        <w:rPr>
          <w:rFonts w:ascii="Footlight MT Light" w:eastAsia="Cambria" w:hAnsi="Footlight MT Light"/>
          <w:i/>
          <w:iCs/>
          <w:noProof/>
          <w:sz w:val="24"/>
          <w:szCs w:val="24"/>
          <w:lang w:val="en-US"/>
        </w:rPr>
        <w:t>Innovative: Journal of Social Science Research</w:t>
      </w:r>
      <w:r w:rsidRPr="00045649">
        <w:rPr>
          <w:rFonts w:ascii="Footlight MT Light" w:eastAsia="Cambria" w:hAnsi="Footlight MT Light"/>
          <w:noProof/>
          <w:sz w:val="24"/>
          <w:szCs w:val="24"/>
          <w:lang w:val="en-US"/>
        </w:rPr>
        <w:t xml:space="preserve">, </w:t>
      </w:r>
      <w:r w:rsidRPr="00045649">
        <w:rPr>
          <w:rFonts w:ascii="Footlight MT Light" w:eastAsia="Cambria" w:hAnsi="Footlight MT Light"/>
          <w:i/>
          <w:iCs/>
          <w:noProof/>
          <w:sz w:val="24"/>
          <w:szCs w:val="24"/>
          <w:lang w:val="en-US"/>
        </w:rPr>
        <w:t>4</w:t>
      </w:r>
      <w:r w:rsidRPr="00045649">
        <w:rPr>
          <w:rFonts w:ascii="Footlight MT Light" w:eastAsia="Cambria" w:hAnsi="Footlight MT Light"/>
          <w:noProof/>
          <w:sz w:val="24"/>
          <w:szCs w:val="24"/>
          <w:lang w:val="en-US"/>
        </w:rPr>
        <w:t>(1), 9956–9967.</w:t>
      </w:r>
    </w:p>
    <w:p w14:paraId="4A8915A0"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Rian. dkk, 2023. (2023). Efektivitas Pemberantasan Tindak Pidana Judi Online. </w:t>
      </w:r>
      <w:r w:rsidRPr="00045649">
        <w:rPr>
          <w:rFonts w:ascii="Footlight MT Light" w:eastAsia="Cambria" w:hAnsi="Footlight MT Light"/>
          <w:i/>
          <w:iCs/>
          <w:noProof/>
          <w:sz w:val="24"/>
          <w:szCs w:val="24"/>
          <w:lang w:val="en-US"/>
        </w:rPr>
        <w:t>Jurnal Juridisch</w:t>
      </w:r>
      <w:r w:rsidRPr="00045649">
        <w:rPr>
          <w:rFonts w:ascii="Footlight MT Light" w:eastAsia="Cambria" w:hAnsi="Footlight MT Light"/>
          <w:noProof/>
          <w:sz w:val="24"/>
          <w:szCs w:val="24"/>
          <w:lang w:val="en-US"/>
        </w:rPr>
        <w:t xml:space="preserve">, </w:t>
      </w:r>
      <w:r w:rsidRPr="00045649">
        <w:rPr>
          <w:rFonts w:ascii="Footlight MT Light" w:eastAsia="Cambria" w:hAnsi="Footlight MT Light"/>
          <w:i/>
          <w:iCs/>
          <w:noProof/>
          <w:sz w:val="24"/>
          <w:szCs w:val="24"/>
          <w:lang w:val="en-US"/>
        </w:rPr>
        <w:t>4</w:t>
      </w:r>
      <w:r w:rsidRPr="00045649">
        <w:rPr>
          <w:rFonts w:ascii="Footlight MT Light" w:eastAsia="Cambria" w:hAnsi="Footlight MT Light"/>
          <w:noProof/>
          <w:sz w:val="24"/>
          <w:szCs w:val="24"/>
          <w:lang w:val="en-US"/>
        </w:rPr>
        <w:t>(1), 1–10.</w:t>
      </w:r>
    </w:p>
    <w:p w14:paraId="080F88D3"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Ridwan, M. (2021). </w:t>
      </w:r>
      <w:r w:rsidRPr="00045649">
        <w:rPr>
          <w:rFonts w:ascii="Footlight MT Light" w:eastAsia="Cambria" w:hAnsi="Footlight MT Light"/>
          <w:i/>
          <w:iCs/>
          <w:noProof/>
          <w:sz w:val="24"/>
          <w:szCs w:val="24"/>
          <w:lang w:val="en-US"/>
        </w:rPr>
        <w:t>Wawasan keislaman: Penguatan diskursus keislaman kontemporer</w:t>
      </w:r>
      <w:r w:rsidRPr="00045649">
        <w:rPr>
          <w:rFonts w:ascii="Footlight MT Light" w:eastAsia="Cambria" w:hAnsi="Footlight MT Light"/>
          <w:noProof/>
          <w:sz w:val="24"/>
          <w:szCs w:val="24"/>
          <w:lang w:val="en-US"/>
        </w:rPr>
        <w:t>. Zahir Publishing.</w:t>
      </w:r>
    </w:p>
    <w:p w14:paraId="5700B721"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Ritonga, I., Munthe, R. Y., Bay, W. A., &amp; Marbun, S. (2025). Judi Online Dalam Perspektif Hukum Islam Dan Undang-Undang Di Indonesia. </w:t>
      </w:r>
      <w:r w:rsidRPr="00045649">
        <w:rPr>
          <w:rFonts w:ascii="Footlight MT Light" w:eastAsia="Cambria" w:hAnsi="Footlight MT Light"/>
          <w:i/>
          <w:iCs/>
          <w:noProof/>
          <w:sz w:val="24"/>
          <w:szCs w:val="24"/>
          <w:lang w:val="en-US"/>
        </w:rPr>
        <w:t>Tabayyun: Journal Of Islamic Studies</w:t>
      </w:r>
      <w:r w:rsidRPr="00045649">
        <w:rPr>
          <w:rFonts w:ascii="Footlight MT Light" w:eastAsia="Cambria" w:hAnsi="Footlight MT Light"/>
          <w:noProof/>
          <w:sz w:val="24"/>
          <w:szCs w:val="24"/>
          <w:lang w:val="en-US"/>
        </w:rPr>
        <w:t xml:space="preserve">, </w:t>
      </w:r>
      <w:r w:rsidRPr="00045649">
        <w:rPr>
          <w:rFonts w:ascii="Footlight MT Light" w:eastAsia="Cambria" w:hAnsi="Footlight MT Light"/>
          <w:i/>
          <w:iCs/>
          <w:noProof/>
          <w:sz w:val="24"/>
          <w:szCs w:val="24"/>
          <w:lang w:val="en-US"/>
        </w:rPr>
        <w:t>3</w:t>
      </w:r>
      <w:r w:rsidRPr="00045649">
        <w:rPr>
          <w:rFonts w:ascii="Footlight MT Light" w:eastAsia="Cambria" w:hAnsi="Footlight MT Light"/>
          <w:noProof/>
          <w:sz w:val="24"/>
          <w:szCs w:val="24"/>
          <w:lang w:val="en-US"/>
        </w:rPr>
        <w:t>(01).</w:t>
      </w:r>
    </w:p>
    <w:p w14:paraId="517E5AD5"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Rosid, A. (2024). </w:t>
      </w:r>
      <w:r w:rsidRPr="00045649">
        <w:rPr>
          <w:rFonts w:ascii="Footlight MT Light" w:eastAsia="Cambria" w:hAnsi="Footlight MT Light"/>
          <w:i/>
          <w:iCs/>
          <w:noProof/>
          <w:sz w:val="24"/>
          <w:szCs w:val="24"/>
          <w:lang w:val="en-US"/>
        </w:rPr>
        <w:t>PENEGAKAN HUKUM PIDANA PADA PRAKTIK JUDI ONLINE DI CIREBON.</w:t>
      </w:r>
      <w:r w:rsidRPr="00045649">
        <w:rPr>
          <w:rFonts w:ascii="Footlight MT Light" w:eastAsia="Cambria" w:hAnsi="Footlight MT Light"/>
          <w:noProof/>
          <w:sz w:val="24"/>
          <w:szCs w:val="24"/>
          <w:lang w:val="en-US"/>
        </w:rPr>
        <w:t xml:space="preserve"> UIN Siber Syekh Nurjati.</w:t>
      </w:r>
    </w:p>
    <w:p w14:paraId="776F8228"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Salim, F., Andito, M. S., Hanif, M., &amp; Efendi, A. A. A. (2025). Bentuk Perkembangan dan Penafsiran Judi dalam Pandangan Al-Baqarah 219 dan Al-Maidah 90-91. </w:t>
      </w:r>
      <w:r w:rsidRPr="00045649">
        <w:rPr>
          <w:rFonts w:ascii="Footlight MT Light" w:eastAsia="Cambria" w:hAnsi="Footlight MT Light"/>
          <w:i/>
          <w:iCs/>
          <w:noProof/>
          <w:sz w:val="24"/>
          <w:szCs w:val="24"/>
          <w:lang w:val="en-US"/>
        </w:rPr>
        <w:t>Hamalatul Qur’an: Jurnal Ilmu Ilmu Alqur’an</w:t>
      </w:r>
      <w:r w:rsidRPr="00045649">
        <w:rPr>
          <w:rFonts w:ascii="Footlight MT Light" w:eastAsia="Cambria" w:hAnsi="Footlight MT Light"/>
          <w:noProof/>
          <w:sz w:val="24"/>
          <w:szCs w:val="24"/>
          <w:lang w:val="en-US"/>
        </w:rPr>
        <w:t xml:space="preserve">, </w:t>
      </w:r>
      <w:r w:rsidRPr="00045649">
        <w:rPr>
          <w:rFonts w:ascii="Footlight MT Light" w:eastAsia="Cambria" w:hAnsi="Footlight MT Light"/>
          <w:i/>
          <w:iCs/>
          <w:noProof/>
          <w:sz w:val="24"/>
          <w:szCs w:val="24"/>
          <w:lang w:val="en-US"/>
        </w:rPr>
        <w:t>6</w:t>
      </w:r>
      <w:r w:rsidRPr="00045649">
        <w:rPr>
          <w:rFonts w:ascii="Footlight MT Light" w:eastAsia="Cambria" w:hAnsi="Footlight MT Light"/>
          <w:noProof/>
          <w:sz w:val="24"/>
          <w:szCs w:val="24"/>
          <w:lang w:val="en-US"/>
        </w:rPr>
        <w:t>(1), 107–120.</w:t>
      </w:r>
    </w:p>
    <w:p w14:paraId="0BE11E23"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lastRenderedPageBreak/>
        <w:t xml:space="preserve">Samsir. (2024). </w:t>
      </w:r>
      <w:r w:rsidRPr="00045649">
        <w:rPr>
          <w:rFonts w:ascii="Footlight MT Light" w:eastAsia="Cambria" w:hAnsi="Footlight MT Light"/>
          <w:i/>
          <w:iCs/>
          <w:noProof/>
          <w:sz w:val="24"/>
          <w:szCs w:val="24"/>
          <w:lang w:val="en-US"/>
        </w:rPr>
        <w:t>Polda Sulsel Ungkap Kasus Judi Online, Modus Endorsement Hingga Jual Beli Chip</w:t>
      </w:r>
      <w:r w:rsidRPr="00045649">
        <w:rPr>
          <w:rFonts w:ascii="Footlight MT Light" w:eastAsia="Cambria" w:hAnsi="Footlight MT Light"/>
          <w:noProof/>
          <w:sz w:val="24"/>
          <w:szCs w:val="24"/>
          <w:lang w:val="en-US"/>
        </w:rPr>
        <w:t>.</w:t>
      </w:r>
    </w:p>
    <w:p w14:paraId="564DE3E1"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Siswanto, H. (2023). </w:t>
      </w:r>
      <w:r w:rsidRPr="00045649">
        <w:rPr>
          <w:rFonts w:ascii="Footlight MT Light" w:eastAsia="Cambria" w:hAnsi="Footlight MT Light"/>
          <w:i/>
          <w:iCs/>
          <w:noProof/>
          <w:sz w:val="24"/>
          <w:szCs w:val="24"/>
          <w:lang w:val="en-US"/>
        </w:rPr>
        <w:t>Demi Bayar Utang Chip Judi Online Pria di Pangkep Nekat Bunuh dan Rampok Pengusaha</w:t>
      </w:r>
      <w:r w:rsidRPr="00045649">
        <w:rPr>
          <w:rFonts w:ascii="Footlight MT Light" w:eastAsia="Cambria" w:hAnsi="Footlight MT Light"/>
          <w:noProof/>
          <w:sz w:val="24"/>
          <w:szCs w:val="24"/>
          <w:lang w:val="en-US"/>
        </w:rPr>
        <w:t>. Nasional.Id.</w:t>
      </w:r>
    </w:p>
    <w:p w14:paraId="052C0D4D"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noProof/>
          <w:sz w:val="24"/>
          <w:szCs w:val="24"/>
          <w:lang w:val="en-US"/>
        </w:rPr>
      </w:pPr>
      <w:r w:rsidRPr="00045649">
        <w:rPr>
          <w:rFonts w:ascii="Footlight MT Light" w:eastAsia="Cambria" w:hAnsi="Footlight MT Light"/>
          <w:noProof/>
          <w:sz w:val="24"/>
          <w:szCs w:val="24"/>
          <w:lang w:val="en-US"/>
        </w:rPr>
        <w:t xml:space="preserve">Tejomukti, R. A. (2023). </w:t>
      </w:r>
      <w:r w:rsidRPr="00045649">
        <w:rPr>
          <w:rFonts w:ascii="Footlight MT Light" w:eastAsia="Cambria" w:hAnsi="Footlight MT Light"/>
          <w:i/>
          <w:iCs/>
          <w:noProof/>
          <w:sz w:val="24"/>
          <w:szCs w:val="24"/>
          <w:lang w:val="en-US"/>
        </w:rPr>
        <w:t>Marak Judi Slot, Ini 5 Praktik Judi yang Ada Sejak Masa Jahiliyah</w:t>
      </w:r>
      <w:r w:rsidRPr="00045649">
        <w:rPr>
          <w:rFonts w:ascii="Footlight MT Light" w:eastAsia="Cambria" w:hAnsi="Footlight MT Light"/>
          <w:noProof/>
          <w:sz w:val="24"/>
          <w:szCs w:val="24"/>
          <w:lang w:val="en-US"/>
        </w:rPr>
        <w:t>. REPUBLIK.</w:t>
      </w:r>
    </w:p>
    <w:p w14:paraId="0606FF4B" w14:textId="77777777" w:rsidR="009B71EA" w:rsidRPr="00045649" w:rsidRDefault="009B71EA" w:rsidP="0001308D">
      <w:pPr>
        <w:widowControl w:val="0"/>
        <w:autoSpaceDE w:val="0"/>
        <w:autoSpaceDN w:val="0"/>
        <w:adjustRightInd w:val="0"/>
        <w:ind w:left="567" w:hanging="567"/>
        <w:jc w:val="both"/>
        <w:rPr>
          <w:rFonts w:ascii="Footlight MT Light" w:eastAsia="Cambria" w:hAnsi="Footlight MT Light" w:cs="Cambria"/>
          <w:noProof/>
          <w:sz w:val="24"/>
          <w:szCs w:val="24"/>
          <w:lang w:val="en-US"/>
        </w:rPr>
      </w:pPr>
      <w:r w:rsidRPr="00045649">
        <w:rPr>
          <w:rFonts w:ascii="Footlight MT Light" w:eastAsia="Cambria" w:hAnsi="Footlight MT Light"/>
          <w:noProof/>
          <w:sz w:val="24"/>
          <w:szCs w:val="24"/>
          <w:lang w:val="en-US"/>
        </w:rPr>
        <w:t xml:space="preserve">Tri Meilani Ameliya. (2024). </w:t>
      </w:r>
      <w:r w:rsidRPr="00045649">
        <w:rPr>
          <w:rFonts w:ascii="Footlight MT Light" w:eastAsia="Cambria" w:hAnsi="Footlight MT Light"/>
          <w:i/>
          <w:iCs/>
          <w:noProof/>
          <w:sz w:val="24"/>
          <w:szCs w:val="24"/>
          <w:lang w:val="en-US"/>
        </w:rPr>
        <w:t>Pemerintah ungkap lima provinsi dengan jumlah penjudi online terbanyak</w:t>
      </w:r>
      <w:r w:rsidRPr="00045649">
        <w:rPr>
          <w:rFonts w:ascii="Footlight MT Light" w:eastAsia="Cambria" w:hAnsi="Footlight MT Light"/>
          <w:noProof/>
          <w:sz w:val="24"/>
          <w:szCs w:val="24"/>
          <w:lang w:val="en-US"/>
        </w:rPr>
        <w:t>. ANTARA. https://makassar.antaranews.com/berita/544680/pemerintah-ungkap-lima-provinsi-dengan-jumlah-penjudi-online-terbanyak</w:t>
      </w:r>
    </w:p>
    <w:p w14:paraId="557C9C30" w14:textId="77777777" w:rsidR="009B71EA" w:rsidRPr="00045649" w:rsidRDefault="009B71EA" w:rsidP="0001308D">
      <w:pPr>
        <w:widowControl w:val="0"/>
        <w:autoSpaceDE w:val="0"/>
        <w:autoSpaceDN w:val="0"/>
        <w:ind w:left="567" w:hanging="567"/>
        <w:jc w:val="both"/>
        <w:rPr>
          <w:rFonts w:ascii="Footlight MT Light" w:eastAsia="Cambria" w:hAnsi="Footlight MT Light" w:cs="Cambria"/>
          <w:b/>
          <w:bCs/>
          <w:sz w:val="24"/>
          <w:szCs w:val="24"/>
          <w:lang w:val="en-US"/>
        </w:rPr>
      </w:pPr>
      <w:r w:rsidRPr="00045649">
        <w:rPr>
          <w:rFonts w:ascii="Footlight MT Light" w:eastAsia="Cambria" w:hAnsi="Footlight MT Light" w:cs="Cambria"/>
          <w:sz w:val="24"/>
          <w:szCs w:val="24"/>
          <w:lang w:val="en-US"/>
        </w:rPr>
        <w:fldChar w:fldCharType="end"/>
      </w:r>
    </w:p>
    <w:p w14:paraId="58BADC6B" w14:textId="77777777" w:rsidR="00D962E0" w:rsidRPr="00045649" w:rsidRDefault="00D962E0">
      <w:pPr>
        <w:jc w:val="both"/>
        <w:rPr>
          <w:rFonts w:ascii="Footlight MT Light" w:eastAsia="Gentium Basic" w:hAnsi="Footlight MT Light" w:cs="Gentium Basic"/>
          <w:color w:val="000000"/>
          <w:sz w:val="24"/>
          <w:szCs w:val="24"/>
          <w:lang w:val="en-US"/>
        </w:rPr>
      </w:pPr>
    </w:p>
    <w:p w14:paraId="38DAF4F6" w14:textId="7511B602" w:rsidR="00D962E0" w:rsidRPr="00045649" w:rsidRDefault="00D962E0" w:rsidP="009B71EA">
      <w:pPr>
        <w:jc w:val="both"/>
        <w:rPr>
          <w:rFonts w:ascii="Footlight MT Light" w:eastAsia="Gentium Basic" w:hAnsi="Footlight MT Light" w:cs="Gentium Basic"/>
          <w:color w:val="000000"/>
          <w:sz w:val="24"/>
          <w:szCs w:val="24"/>
        </w:rPr>
      </w:pPr>
    </w:p>
    <w:sectPr w:rsidR="00D962E0" w:rsidRPr="00045649">
      <w:type w:val="continuous"/>
      <w:pgSz w:w="11906" w:h="16838"/>
      <w:pgMar w:top="1418" w:right="1134" w:bottom="1418" w:left="1134" w:header="0" w:footer="37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50603" w14:textId="77777777" w:rsidR="00410F8E" w:rsidRDefault="00410F8E">
      <w:r>
        <w:separator/>
      </w:r>
    </w:p>
  </w:endnote>
  <w:endnote w:type="continuationSeparator" w:id="0">
    <w:p w14:paraId="095AD678" w14:textId="77777777" w:rsidR="00410F8E" w:rsidRDefault="00410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42A888D-7004-4F28-B1D5-43B19C2EFC65}"/>
    <w:embedBold r:id="rId2" w:fontKey="{8068462F-A5D2-4B6A-A9DC-36F3D2F6D34A}"/>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66A1129B-F707-483F-8334-C0B9B871CAC2}"/>
    <w:embedItalic r:id="rId4" w:fontKey="{57D41653-432E-44F1-BA17-F7D567C4B05E}"/>
  </w:font>
  <w:font w:name="Footlight MT Light">
    <w:panose1 w:val="0204060206030A020304"/>
    <w:charset w:val="00"/>
    <w:family w:val="roman"/>
    <w:pitch w:val="variable"/>
    <w:sig w:usb0="00000003" w:usb1="00000000" w:usb2="00000000" w:usb3="00000000" w:csb0="00000001" w:csb1="00000000"/>
    <w:embedRegular r:id="rId5" w:fontKey="{899757D5-080B-4E4B-8784-FCE47EDCA585}"/>
    <w:embedBold r:id="rId6" w:fontKey="{4351C773-430A-490A-8C90-0E886BFE7AEA}"/>
    <w:embedItalic r:id="rId7" w:fontKey="{91363572-0288-4F5D-AA14-D60D7919CA48}"/>
    <w:embedBoldItalic r:id="rId8" w:fontKey="{D39AA582-A317-4002-B35D-9585463A455B}"/>
  </w:font>
  <w:font w:name="Gentium Basic">
    <w:altName w:val="Calibri"/>
    <w:charset w:val="00"/>
    <w:family w:val="auto"/>
    <w:pitch w:val="default"/>
  </w:font>
  <w:font w:name="Lustria">
    <w:altName w:val="Cambria"/>
    <w:charset w:val="00"/>
    <w:family w:val="auto"/>
    <w:pitch w:val="default"/>
    <w:embedRegular r:id="rId9" w:fontKey="{6E435D85-2B60-4318-9136-04CFEF1A381C}"/>
    <w:embedBold r:id="rId10" w:fontKey="{9559D67E-C349-4AFC-A733-DB26A7CE31C1}"/>
  </w:font>
  <w:font w:name="Cambria">
    <w:panose1 w:val="02040503050406030204"/>
    <w:charset w:val="00"/>
    <w:family w:val="roman"/>
    <w:pitch w:val="variable"/>
    <w:sig w:usb0="E00006FF" w:usb1="420024FF" w:usb2="02000000" w:usb3="00000000" w:csb0="0000019F" w:csb1="00000000"/>
    <w:embedRegular r:id="rId11" w:fontKey="{4F2AA6B6-D4EA-4A56-A8AB-839757D308A6}"/>
    <w:embedBold r:id="rId12" w:fontKey="{ACDF22A6-317D-4973-BA92-F152C4C0D779}"/>
    <w:embedItalic r:id="rId13" w:fontKey="{F82D4526-3706-466F-8BD4-164C7F6C710B}"/>
    <w:embedBoldItalic r:id="rId14" w:fontKey="{72E4B98D-6CF6-4F2C-AE14-EE156B4B9606}"/>
  </w:font>
  <w:font w:name="Calibri Light">
    <w:panose1 w:val="020F0302020204030204"/>
    <w:charset w:val="00"/>
    <w:family w:val="swiss"/>
    <w:pitch w:val="variable"/>
    <w:sig w:usb0="E4002EFF" w:usb1="C200247B" w:usb2="00000009" w:usb3="00000000" w:csb0="000001FF" w:csb1="00000000"/>
    <w:embedRegular r:id="rId15" w:fontKey="{5E62CC9A-D9CB-49B6-B317-671233F639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8691" w14:textId="77777777" w:rsidR="00D962E0" w:rsidRDefault="00D962E0">
    <w:pPr>
      <w:pBdr>
        <w:top w:val="nil"/>
        <w:left w:val="nil"/>
        <w:bottom w:val="nil"/>
        <w:right w:val="nil"/>
        <w:between w:val="nil"/>
      </w:pBdr>
      <w:tabs>
        <w:tab w:val="center" w:pos="4680"/>
        <w:tab w:val="right" w:pos="9360"/>
      </w:tabs>
      <w:rPr>
        <w:rFonts w:ascii="Gentium Basic" w:eastAsia="Gentium Basic" w:hAnsi="Gentium Basic" w:cs="Gentium Basic"/>
        <w:color w:val="000000"/>
      </w:rPr>
    </w:pPr>
  </w:p>
  <w:tbl>
    <w:tblPr>
      <w:tblStyle w:val="a3"/>
      <w:tblW w:w="9642" w:type="dxa"/>
      <w:tblBorders>
        <w:top w:val="single" w:sz="8" w:space="0" w:color="000000"/>
      </w:tblBorders>
      <w:tblLayout w:type="fixed"/>
      <w:tblLook w:val="0000" w:firstRow="0" w:lastRow="0" w:firstColumn="0" w:lastColumn="0" w:noHBand="0" w:noVBand="0"/>
    </w:tblPr>
    <w:tblGrid>
      <w:gridCol w:w="8890"/>
      <w:gridCol w:w="264"/>
      <w:gridCol w:w="488"/>
    </w:tblGrid>
    <w:tr w:rsidR="00D962E0" w14:paraId="04E40AF2" w14:textId="77777777">
      <w:trPr>
        <w:trHeight w:val="247"/>
      </w:trPr>
      <w:tc>
        <w:tcPr>
          <w:tcW w:w="8890" w:type="dxa"/>
          <w:vAlign w:val="center"/>
        </w:tcPr>
        <w:p w14:paraId="4A652BE3" w14:textId="08773004" w:rsidR="00D962E0" w:rsidRDefault="00367C82">
          <w:pPr>
            <w:tabs>
              <w:tab w:val="center" w:pos="4680"/>
              <w:tab w:val="right" w:pos="9360"/>
            </w:tabs>
            <w:ind w:right="-188"/>
            <w:rPr>
              <w:rFonts w:ascii="Gentium Basic" w:eastAsia="Gentium Basic" w:hAnsi="Gentium Basic" w:cs="Gentium Basic"/>
              <w:b/>
              <w:i/>
              <w:color w:val="000000"/>
              <w:sz w:val="18"/>
              <w:szCs w:val="18"/>
            </w:rPr>
          </w:pPr>
          <w:r w:rsidRPr="00367C82">
            <w:rPr>
              <w:rFonts w:ascii="Footlight MT Light" w:eastAsia="Gentium Basic" w:hAnsi="Footlight MT Light" w:cs="Gentium Basic"/>
              <w:bCs/>
              <w:i/>
              <w:iCs/>
              <w:color w:val="000000"/>
            </w:rPr>
            <w:t>Analisis Tafsir Al-Qur’an Terhadap Fenomena Kejahatan Judi Online pada Masyarakat</w:t>
          </w:r>
          <w:r>
            <w:rPr>
              <w:rFonts w:ascii="Gentium Basic" w:eastAsia="Gentium Basic" w:hAnsi="Gentium Basic" w:cs="Gentium Basic"/>
              <w:i/>
              <w:color w:val="000000"/>
            </w:rPr>
            <w:t>…</w:t>
          </w:r>
        </w:p>
      </w:tc>
      <w:tc>
        <w:tcPr>
          <w:tcW w:w="264" w:type="dxa"/>
          <w:vAlign w:val="center"/>
        </w:tcPr>
        <w:p w14:paraId="26517AAF" w14:textId="77777777" w:rsidR="00D962E0" w:rsidRDefault="00410F8E">
          <w:pPr>
            <w:tabs>
              <w:tab w:val="center" w:pos="4680"/>
              <w:tab w:val="right" w:pos="9360"/>
            </w:tabs>
            <w:ind w:right="-188"/>
            <w:rPr>
              <w:rFonts w:ascii="Lustria" w:eastAsia="Lustria" w:hAnsi="Lustria" w:cs="Lustria"/>
              <w:color w:val="000000"/>
              <w:sz w:val="18"/>
              <w:szCs w:val="18"/>
            </w:rPr>
          </w:pPr>
          <w:r>
            <w:rPr>
              <w:rFonts w:ascii="Lustria" w:eastAsia="Lustria" w:hAnsi="Lustria" w:cs="Lustria"/>
              <w:color w:val="000000"/>
              <w:sz w:val="18"/>
              <w:szCs w:val="18"/>
            </w:rPr>
            <w:t>|</w:t>
          </w:r>
        </w:p>
      </w:tc>
      <w:tc>
        <w:tcPr>
          <w:tcW w:w="488" w:type="dxa"/>
          <w:vAlign w:val="center"/>
        </w:tcPr>
        <w:p w14:paraId="1EDC4F89" w14:textId="02BF21A1" w:rsidR="00D962E0" w:rsidRDefault="00410F8E">
          <w:pPr>
            <w:tabs>
              <w:tab w:val="center" w:pos="4680"/>
              <w:tab w:val="right" w:pos="9360"/>
            </w:tabs>
            <w:ind w:left="-142" w:right="-188"/>
            <w:rPr>
              <w:rFonts w:ascii="Lustria" w:eastAsia="Lustria" w:hAnsi="Lustria" w:cs="Lustria"/>
              <w:color w:val="000000"/>
              <w:sz w:val="18"/>
              <w:szCs w:val="18"/>
            </w:rPr>
          </w:pPr>
          <w:r>
            <w:rPr>
              <w:rFonts w:ascii="Lustria" w:eastAsia="Lustria" w:hAnsi="Lustria" w:cs="Lustria"/>
              <w:b/>
              <w:color w:val="000000"/>
              <w:sz w:val="18"/>
              <w:szCs w:val="18"/>
            </w:rPr>
            <w:t xml:space="preserve">  </w:t>
          </w:r>
          <w:r>
            <w:rPr>
              <w:rFonts w:ascii="Lustria" w:eastAsia="Lustria" w:hAnsi="Lustria" w:cs="Lustria"/>
              <w:b/>
              <w:color w:val="000000"/>
              <w:sz w:val="18"/>
              <w:szCs w:val="18"/>
            </w:rPr>
            <w:fldChar w:fldCharType="begin"/>
          </w:r>
          <w:r>
            <w:rPr>
              <w:rFonts w:ascii="Lustria" w:eastAsia="Lustria" w:hAnsi="Lustria" w:cs="Lustria"/>
              <w:b/>
              <w:color w:val="000000"/>
              <w:sz w:val="18"/>
              <w:szCs w:val="18"/>
            </w:rPr>
            <w:instrText>PAGE</w:instrText>
          </w:r>
          <w:r>
            <w:rPr>
              <w:rFonts w:ascii="Lustria" w:eastAsia="Lustria" w:hAnsi="Lustria" w:cs="Lustria"/>
              <w:b/>
              <w:color w:val="000000"/>
              <w:sz w:val="18"/>
              <w:szCs w:val="18"/>
            </w:rPr>
            <w:fldChar w:fldCharType="separate"/>
          </w:r>
          <w:r w:rsidR="00FD6649">
            <w:rPr>
              <w:rFonts w:ascii="Lustria" w:eastAsia="Lustria" w:hAnsi="Lustria" w:cs="Lustria"/>
              <w:b/>
              <w:noProof/>
              <w:color w:val="000000"/>
              <w:sz w:val="18"/>
              <w:szCs w:val="18"/>
            </w:rPr>
            <w:t>2</w:t>
          </w:r>
          <w:r>
            <w:rPr>
              <w:rFonts w:ascii="Lustria" w:eastAsia="Lustria" w:hAnsi="Lustria" w:cs="Lustria"/>
              <w:b/>
              <w:color w:val="000000"/>
              <w:sz w:val="18"/>
              <w:szCs w:val="18"/>
            </w:rPr>
            <w:fldChar w:fldCharType="end"/>
          </w:r>
        </w:p>
      </w:tc>
    </w:tr>
  </w:tbl>
  <w:p w14:paraId="3B84A707" w14:textId="77777777" w:rsidR="00D962E0" w:rsidRDefault="00D962E0">
    <w:pPr>
      <w:pBdr>
        <w:top w:val="nil"/>
        <w:left w:val="nil"/>
        <w:bottom w:val="nil"/>
        <w:right w:val="nil"/>
        <w:between w:val="nil"/>
      </w:pBdr>
      <w:tabs>
        <w:tab w:val="center" w:pos="4680"/>
        <w:tab w:val="right" w:pos="9360"/>
      </w:tabs>
      <w:rPr>
        <w:color w:val="000000"/>
      </w:rPr>
    </w:pPr>
  </w:p>
  <w:p w14:paraId="6B088B76" w14:textId="77777777" w:rsidR="00D962E0" w:rsidRDefault="00D962E0">
    <w:pPr>
      <w:pBdr>
        <w:top w:val="nil"/>
        <w:left w:val="nil"/>
        <w:bottom w:val="nil"/>
        <w:right w:val="nil"/>
        <w:between w:val="nil"/>
      </w:pBdr>
      <w:tabs>
        <w:tab w:val="center" w:pos="4680"/>
        <w:tab w:val="right" w:pos="9360"/>
      </w:tabs>
      <w:rPr>
        <w:color w:val="000000"/>
      </w:rPr>
    </w:pPr>
  </w:p>
  <w:p w14:paraId="41DB187E" w14:textId="77777777" w:rsidR="00D962E0" w:rsidRDefault="00D962E0">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C25F" w14:textId="77777777" w:rsidR="00D962E0" w:rsidRDefault="00D962E0">
    <w:pPr>
      <w:pBdr>
        <w:top w:val="nil"/>
        <w:left w:val="nil"/>
        <w:bottom w:val="nil"/>
        <w:right w:val="nil"/>
        <w:between w:val="nil"/>
      </w:pBdr>
      <w:tabs>
        <w:tab w:val="center" w:pos="4680"/>
        <w:tab w:val="right" w:pos="9360"/>
      </w:tabs>
      <w:rPr>
        <w:color w:val="000000"/>
      </w:rPr>
    </w:pPr>
  </w:p>
  <w:tbl>
    <w:tblPr>
      <w:tblStyle w:val="a4"/>
      <w:tblW w:w="9626" w:type="dxa"/>
      <w:tblBorders>
        <w:top w:val="single" w:sz="8" w:space="0" w:color="000000"/>
      </w:tblBorders>
      <w:tblLayout w:type="fixed"/>
      <w:tblLook w:val="0000" w:firstRow="0" w:lastRow="0" w:firstColumn="0" w:lastColumn="0" w:noHBand="0" w:noVBand="0"/>
    </w:tblPr>
    <w:tblGrid>
      <w:gridCol w:w="8879"/>
      <w:gridCol w:w="261"/>
      <w:gridCol w:w="486"/>
    </w:tblGrid>
    <w:tr w:rsidR="00D962E0" w14:paraId="48113E6D" w14:textId="77777777">
      <w:trPr>
        <w:trHeight w:val="251"/>
      </w:trPr>
      <w:tc>
        <w:tcPr>
          <w:tcW w:w="8879" w:type="dxa"/>
          <w:vAlign w:val="center"/>
        </w:tcPr>
        <w:p w14:paraId="64B56172" w14:textId="77777777" w:rsidR="00D962E0" w:rsidRDefault="00D962E0">
          <w:pPr>
            <w:tabs>
              <w:tab w:val="center" w:pos="4680"/>
              <w:tab w:val="right" w:pos="9360"/>
            </w:tabs>
            <w:ind w:right="-188"/>
            <w:rPr>
              <w:rFonts w:ascii="Lustria" w:eastAsia="Lustria" w:hAnsi="Lustria" w:cs="Lustria"/>
              <w:color w:val="000000"/>
              <w:sz w:val="18"/>
              <w:szCs w:val="18"/>
            </w:rPr>
          </w:pPr>
        </w:p>
      </w:tc>
      <w:tc>
        <w:tcPr>
          <w:tcW w:w="261" w:type="dxa"/>
          <w:vAlign w:val="center"/>
        </w:tcPr>
        <w:p w14:paraId="1D682F54" w14:textId="77777777" w:rsidR="00D962E0" w:rsidRDefault="00410F8E">
          <w:pPr>
            <w:tabs>
              <w:tab w:val="center" w:pos="4680"/>
              <w:tab w:val="right" w:pos="9360"/>
            </w:tabs>
            <w:ind w:right="-188"/>
            <w:rPr>
              <w:rFonts w:ascii="Lustria" w:eastAsia="Lustria" w:hAnsi="Lustria" w:cs="Lustria"/>
              <w:color w:val="000000"/>
              <w:sz w:val="18"/>
              <w:szCs w:val="18"/>
            </w:rPr>
          </w:pPr>
          <w:r>
            <w:rPr>
              <w:rFonts w:ascii="Lustria" w:eastAsia="Lustria" w:hAnsi="Lustria" w:cs="Lustria"/>
              <w:color w:val="000000"/>
              <w:sz w:val="18"/>
              <w:szCs w:val="18"/>
            </w:rPr>
            <w:t>|</w:t>
          </w:r>
        </w:p>
      </w:tc>
      <w:tc>
        <w:tcPr>
          <w:tcW w:w="486" w:type="dxa"/>
          <w:vAlign w:val="center"/>
        </w:tcPr>
        <w:p w14:paraId="40EC65FC" w14:textId="77777777" w:rsidR="00D962E0" w:rsidRDefault="00410F8E">
          <w:pPr>
            <w:tabs>
              <w:tab w:val="center" w:pos="4680"/>
              <w:tab w:val="right" w:pos="9360"/>
            </w:tabs>
            <w:ind w:left="-142" w:right="-188"/>
            <w:rPr>
              <w:rFonts w:ascii="Lustria" w:eastAsia="Lustria" w:hAnsi="Lustria" w:cs="Lustria"/>
              <w:color w:val="000000"/>
              <w:sz w:val="18"/>
              <w:szCs w:val="18"/>
            </w:rPr>
          </w:pPr>
          <w:r>
            <w:rPr>
              <w:rFonts w:ascii="Lustria" w:eastAsia="Lustria" w:hAnsi="Lustria" w:cs="Lustria"/>
              <w:b/>
              <w:color w:val="000000"/>
              <w:sz w:val="18"/>
              <w:szCs w:val="18"/>
            </w:rPr>
            <w:t xml:space="preserve">  </w:t>
          </w:r>
          <w:r>
            <w:rPr>
              <w:rFonts w:ascii="Lustria" w:eastAsia="Lustria" w:hAnsi="Lustria" w:cs="Lustria"/>
              <w:b/>
              <w:color w:val="000000"/>
              <w:sz w:val="18"/>
              <w:szCs w:val="18"/>
            </w:rPr>
            <w:fldChar w:fldCharType="begin"/>
          </w:r>
          <w:r>
            <w:rPr>
              <w:rFonts w:ascii="Lustria" w:eastAsia="Lustria" w:hAnsi="Lustria" w:cs="Lustria"/>
              <w:b/>
              <w:color w:val="000000"/>
              <w:sz w:val="18"/>
              <w:szCs w:val="18"/>
            </w:rPr>
            <w:instrText>PAGE</w:instrText>
          </w:r>
          <w:r>
            <w:rPr>
              <w:rFonts w:ascii="Lustria" w:eastAsia="Lustria" w:hAnsi="Lustria" w:cs="Lustria"/>
              <w:b/>
              <w:color w:val="000000"/>
              <w:sz w:val="18"/>
              <w:szCs w:val="18"/>
            </w:rPr>
            <w:fldChar w:fldCharType="separate"/>
          </w:r>
          <w:r w:rsidR="00FD6649">
            <w:rPr>
              <w:rFonts w:ascii="Lustria" w:eastAsia="Lustria" w:hAnsi="Lustria" w:cs="Lustria"/>
              <w:b/>
              <w:noProof/>
              <w:color w:val="000000"/>
              <w:sz w:val="18"/>
              <w:szCs w:val="18"/>
            </w:rPr>
            <w:t>1</w:t>
          </w:r>
          <w:r>
            <w:rPr>
              <w:rFonts w:ascii="Lustria" w:eastAsia="Lustria" w:hAnsi="Lustria" w:cs="Lustria"/>
              <w:b/>
              <w:color w:val="000000"/>
              <w:sz w:val="18"/>
              <w:szCs w:val="18"/>
            </w:rPr>
            <w:fldChar w:fldCharType="end"/>
          </w:r>
        </w:p>
      </w:tc>
    </w:tr>
  </w:tbl>
  <w:p w14:paraId="5894B92F" w14:textId="77777777" w:rsidR="00D962E0" w:rsidRDefault="00D962E0">
    <w:pPr>
      <w:pBdr>
        <w:top w:val="nil"/>
        <w:left w:val="nil"/>
        <w:bottom w:val="nil"/>
        <w:right w:val="nil"/>
        <w:between w:val="nil"/>
      </w:pBdr>
      <w:tabs>
        <w:tab w:val="center" w:pos="4680"/>
        <w:tab w:val="right" w:pos="9360"/>
      </w:tabs>
      <w:rPr>
        <w:color w:val="000000"/>
      </w:rPr>
    </w:pPr>
  </w:p>
  <w:p w14:paraId="5C9114E4" w14:textId="77777777" w:rsidR="00D962E0" w:rsidRDefault="00D962E0">
    <w:pPr>
      <w:pBdr>
        <w:top w:val="nil"/>
        <w:left w:val="nil"/>
        <w:bottom w:val="nil"/>
        <w:right w:val="nil"/>
        <w:between w:val="nil"/>
      </w:pBdr>
      <w:tabs>
        <w:tab w:val="center" w:pos="4680"/>
        <w:tab w:val="right" w:pos="9360"/>
      </w:tabs>
      <w:rPr>
        <w:color w:val="000000"/>
      </w:rPr>
    </w:pPr>
  </w:p>
  <w:p w14:paraId="44DB6058" w14:textId="77777777" w:rsidR="00D962E0" w:rsidRDefault="00D962E0">
    <w:pPr>
      <w:pBdr>
        <w:top w:val="nil"/>
        <w:left w:val="nil"/>
        <w:bottom w:val="nil"/>
        <w:right w:val="nil"/>
        <w:between w:val="nil"/>
      </w:pBdr>
      <w:tabs>
        <w:tab w:val="center" w:pos="4680"/>
        <w:tab w:val="right" w:pos="9360"/>
      </w:tabs>
      <w:rPr>
        <w:color w:val="000000"/>
      </w:rPr>
    </w:pPr>
  </w:p>
  <w:p w14:paraId="2F0BF0ED" w14:textId="77777777" w:rsidR="00D962E0" w:rsidRDefault="00D962E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FA7C8" w14:textId="77777777" w:rsidR="00410F8E" w:rsidRDefault="00410F8E">
      <w:r>
        <w:separator/>
      </w:r>
    </w:p>
  </w:footnote>
  <w:footnote w:type="continuationSeparator" w:id="0">
    <w:p w14:paraId="6D0A5AB7" w14:textId="77777777" w:rsidR="00410F8E" w:rsidRDefault="00410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3937" w14:textId="77777777" w:rsidR="00D962E0" w:rsidRDefault="00D962E0">
    <w:pPr>
      <w:pBdr>
        <w:top w:val="nil"/>
        <w:left w:val="nil"/>
        <w:bottom w:val="nil"/>
        <w:right w:val="nil"/>
        <w:between w:val="nil"/>
      </w:pBdr>
      <w:tabs>
        <w:tab w:val="center" w:pos="4680"/>
        <w:tab w:val="right" w:pos="9360"/>
      </w:tabs>
      <w:rPr>
        <w:color w:val="000000"/>
      </w:rPr>
    </w:pPr>
  </w:p>
  <w:p w14:paraId="20A5E253" w14:textId="77777777" w:rsidR="00D962E0" w:rsidRDefault="00D962E0">
    <w:pPr>
      <w:pBdr>
        <w:top w:val="nil"/>
        <w:left w:val="nil"/>
        <w:bottom w:val="nil"/>
        <w:right w:val="nil"/>
        <w:between w:val="nil"/>
      </w:pBdr>
      <w:tabs>
        <w:tab w:val="center" w:pos="4680"/>
        <w:tab w:val="right" w:pos="9360"/>
      </w:tabs>
      <w:rPr>
        <w:color w:val="000000"/>
      </w:rPr>
    </w:pPr>
  </w:p>
  <w:p w14:paraId="16E860D9" w14:textId="77777777" w:rsidR="00D962E0" w:rsidRDefault="00D962E0">
    <w:pPr>
      <w:pBdr>
        <w:top w:val="nil"/>
        <w:left w:val="nil"/>
        <w:bottom w:val="nil"/>
        <w:right w:val="nil"/>
        <w:between w:val="nil"/>
      </w:pBdr>
      <w:tabs>
        <w:tab w:val="center" w:pos="4680"/>
        <w:tab w:val="right" w:pos="9360"/>
      </w:tabs>
      <w:rPr>
        <w:color w:val="000000"/>
      </w:rPr>
    </w:pPr>
  </w:p>
  <w:p w14:paraId="6BD81E60" w14:textId="77777777" w:rsidR="00D962E0" w:rsidRDefault="00D962E0">
    <w:pPr>
      <w:pBdr>
        <w:top w:val="nil"/>
        <w:left w:val="nil"/>
        <w:bottom w:val="nil"/>
        <w:right w:val="nil"/>
        <w:between w:val="nil"/>
      </w:pBdr>
      <w:tabs>
        <w:tab w:val="center" w:pos="4680"/>
        <w:tab w:val="right" w:pos="9360"/>
      </w:tabs>
      <w:rPr>
        <w:color w:val="000000"/>
      </w:rPr>
    </w:pPr>
  </w:p>
  <w:p w14:paraId="5D1235E5" w14:textId="77777777" w:rsidR="00D962E0" w:rsidRDefault="00D962E0">
    <w:pPr>
      <w:pBdr>
        <w:top w:val="nil"/>
        <w:left w:val="nil"/>
        <w:bottom w:val="nil"/>
        <w:right w:val="nil"/>
        <w:between w:val="nil"/>
      </w:pBdr>
      <w:tabs>
        <w:tab w:val="center" w:pos="4680"/>
        <w:tab w:val="right" w:pos="9360"/>
      </w:tabs>
      <w:rPr>
        <w:color w:val="000000"/>
      </w:rPr>
    </w:pPr>
  </w:p>
  <w:tbl>
    <w:tblPr>
      <w:tblStyle w:val="a2"/>
      <w:tblW w:w="9621" w:type="dxa"/>
      <w:tblBorders>
        <w:bottom w:val="single" w:sz="12" w:space="0" w:color="000000"/>
      </w:tblBorders>
      <w:tblLayout w:type="fixed"/>
      <w:tblLook w:val="0000" w:firstRow="0" w:lastRow="0" w:firstColumn="0" w:lastColumn="0" w:noHBand="0" w:noVBand="0"/>
    </w:tblPr>
    <w:tblGrid>
      <w:gridCol w:w="4781"/>
      <w:gridCol w:w="4840"/>
    </w:tblGrid>
    <w:tr w:rsidR="00D962E0" w:rsidRPr="00367C82" w14:paraId="3E127EF9" w14:textId="77777777">
      <w:trPr>
        <w:trHeight w:val="142"/>
      </w:trPr>
      <w:tc>
        <w:tcPr>
          <w:tcW w:w="4781" w:type="dxa"/>
        </w:tcPr>
        <w:p w14:paraId="1EAA771F" w14:textId="6F2A6CEC" w:rsidR="00D962E0" w:rsidRPr="00367C82" w:rsidRDefault="00367C82">
          <w:pPr>
            <w:tabs>
              <w:tab w:val="center" w:pos="4680"/>
              <w:tab w:val="right" w:pos="9360"/>
            </w:tabs>
            <w:rPr>
              <w:rFonts w:ascii="Footlight MT Light" w:eastAsia="Gentium Basic" w:hAnsi="Footlight MT Light" w:cs="Gentium Basic"/>
              <w:color w:val="000000"/>
              <w:sz w:val="18"/>
              <w:szCs w:val="18"/>
            </w:rPr>
          </w:pPr>
          <w:r>
            <w:rPr>
              <w:rFonts w:ascii="Footlight MT Light" w:eastAsia="Gentium Basic" w:hAnsi="Footlight MT Light" w:cs="Gentium Basic"/>
              <w:color w:val="000000"/>
            </w:rPr>
            <w:t>Suarning</w:t>
          </w:r>
          <w:r w:rsidRPr="00367C82">
            <w:rPr>
              <w:rFonts w:ascii="Footlight MT Light" w:eastAsia="Gentium Basic" w:hAnsi="Footlight MT Light" w:cs="Gentium Basic"/>
              <w:color w:val="000000"/>
            </w:rPr>
            <w:t xml:space="preserve"> </w:t>
          </w:r>
          <w:r w:rsidRPr="00367C82">
            <w:rPr>
              <w:rFonts w:ascii="Footlight MT Light" w:eastAsia="Gentium Basic" w:hAnsi="Footlight MT Light" w:cs="Gentium Basic"/>
              <w:i/>
              <w:color w:val="000000"/>
            </w:rPr>
            <w:t>et al.</w:t>
          </w:r>
        </w:p>
      </w:tc>
      <w:tc>
        <w:tcPr>
          <w:tcW w:w="4840" w:type="dxa"/>
        </w:tcPr>
        <w:p w14:paraId="0CA8AD71" w14:textId="57CE56CA" w:rsidR="00D962E0" w:rsidRPr="00367C82" w:rsidRDefault="00410F8E">
          <w:pPr>
            <w:tabs>
              <w:tab w:val="center" w:pos="4680"/>
              <w:tab w:val="right" w:pos="9360"/>
            </w:tabs>
            <w:jc w:val="right"/>
            <w:rPr>
              <w:rFonts w:ascii="Footlight MT Light" w:eastAsia="Arial" w:hAnsi="Footlight MT Light" w:cs="Arial"/>
              <w:i/>
              <w:color w:val="000000"/>
            </w:rPr>
          </w:pPr>
          <w:r w:rsidRPr="00367C82">
            <w:rPr>
              <w:rFonts w:ascii="Footlight MT Light" w:eastAsia="Gentium Basic" w:hAnsi="Footlight MT Light" w:cs="Gentium Basic"/>
              <w:color w:val="231F20"/>
            </w:rPr>
            <w:t>10.55681/armada.v</w:t>
          </w:r>
          <w:r w:rsidR="00367C82">
            <w:rPr>
              <w:rFonts w:ascii="Footlight MT Light" w:eastAsia="Gentium Basic" w:hAnsi="Footlight MT Light" w:cs="Gentium Basic"/>
              <w:color w:val="231F20"/>
            </w:rPr>
            <w:t>4</w:t>
          </w:r>
          <w:r w:rsidRPr="00367C82">
            <w:rPr>
              <w:rFonts w:ascii="Footlight MT Light" w:eastAsia="Gentium Basic" w:hAnsi="Footlight MT Light" w:cs="Gentium Basic"/>
              <w:color w:val="231F20"/>
            </w:rPr>
            <w:t>i</w:t>
          </w:r>
          <w:r w:rsidR="00367C82">
            <w:rPr>
              <w:rFonts w:ascii="Footlight MT Light" w:eastAsia="Gentium Basic" w:hAnsi="Footlight MT Light" w:cs="Gentium Basic"/>
              <w:color w:val="231F20"/>
            </w:rPr>
            <w:t>6</w:t>
          </w:r>
          <w:r w:rsidRPr="00367C82">
            <w:rPr>
              <w:rFonts w:ascii="Footlight MT Light" w:eastAsia="Gentium Basic" w:hAnsi="Footlight MT Light" w:cs="Gentium Basic"/>
              <w:color w:val="231F20"/>
            </w:rPr>
            <w:t>.</w:t>
          </w:r>
          <w:r w:rsidR="00367C82">
            <w:rPr>
              <w:rFonts w:ascii="Footlight MT Light" w:eastAsia="Gentium Basic" w:hAnsi="Footlight MT Light" w:cs="Gentium Basic"/>
              <w:color w:val="231F20"/>
            </w:rPr>
            <w:t>2605</w:t>
          </w:r>
        </w:p>
      </w:tc>
    </w:tr>
  </w:tbl>
  <w:p w14:paraId="669DF5C4" w14:textId="77777777" w:rsidR="00D962E0" w:rsidRDefault="00D962E0">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F53FE"/>
    <w:multiLevelType w:val="hybridMultilevel"/>
    <w:tmpl w:val="2AA441AE"/>
    <w:lvl w:ilvl="0" w:tplc="7828387A">
      <w:start w:val="1"/>
      <w:numFmt w:val="lowerLetter"/>
      <w:lvlText w:val="%1."/>
      <w:lvlJc w:val="left"/>
      <w:pPr>
        <w:ind w:left="679" w:hanging="360"/>
      </w:pPr>
      <w:rPr>
        <w:rFonts w:hint="default"/>
      </w:rPr>
    </w:lvl>
    <w:lvl w:ilvl="1" w:tplc="38090019" w:tentative="1">
      <w:start w:val="1"/>
      <w:numFmt w:val="lowerLetter"/>
      <w:lvlText w:val="%2."/>
      <w:lvlJc w:val="left"/>
      <w:pPr>
        <w:ind w:left="1399" w:hanging="360"/>
      </w:pPr>
    </w:lvl>
    <w:lvl w:ilvl="2" w:tplc="3809001B" w:tentative="1">
      <w:start w:val="1"/>
      <w:numFmt w:val="lowerRoman"/>
      <w:lvlText w:val="%3."/>
      <w:lvlJc w:val="right"/>
      <w:pPr>
        <w:ind w:left="2119" w:hanging="180"/>
      </w:pPr>
    </w:lvl>
    <w:lvl w:ilvl="3" w:tplc="3809000F" w:tentative="1">
      <w:start w:val="1"/>
      <w:numFmt w:val="decimal"/>
      <w:lvlText w:val="%4."/>
      <w:lvlJc w:val="left"/>
      <w:pPr>
        <w:ind w:left="2839" w:hanging="360"/>
      </w:pPr>
    </w:lvl>
    <w:lvl w:ilvl="4" w:tplc="38090019" w:tentative="1">
      <w:start w:val="1"/>
      <w:numFmt w:val="lowerLetter"/>
      <w:lvlText w:val="%5."/>
      <w:lvlJc w:val="left"/>
      <w:pPr>
        <w:ind w:left="3559" w:hanging="360"/>
      </w:pPr>
    </w:lvl>
    <w:lvl w:ilvl="5" w:tplc="3809001B" w:tentative="1">
      <w:start w:val="1"/>
      <w:numFmt w:val="lowerRoman"/>
      <w:lvlText w:val="%6."/>
      <w:lvlJc w:val="right"/>
      <w:pPr>
        <w:ind w:left="4279" w:hanging="180"/>
      </w:pPr>
    </w:lvl>
    <w:lvl w:ilvl="6" w:tplc="3809000F" w:tentative="1">
      <w:start w:val="1"/>
      <w:numFmt w:val="decimal"/>
      <w:lvlText w:val="%7."/>
      <w:lvlJc w:val="left"/>
      <w:pPr>
        <w:ind w:left="4999" w:hanging="360"/>
      </w:pPr>
    </w:lvl>
    <w:lvl w:ilvl="7" w:tplc="38090019" w:tentative="1">
      <w:start w:val="1"/>
      <w:numFmt w:val="lowerLetter"/>
      <w:lvlText w:val="%8."/>
      <w:lvlJc w:val="left"/>
      <w:pPr>
        <w:ind w:left="5719" w:hanging="360"/>
      </w:pPr>
    </w:lvl>
    <w:lvl w:ilvl="8" w:tplc="3809001B" w:tentative="1">
      <w:start w:val="1"/>
      <w:numFmt w:val="lowerRoman"/>
      <w:lvlText w:val="%9."/>
      <w:lvlJc w:val="right"/>
      <w:pPr>
        <w:ind w:left="6439" w:hanging="180"/>
      </w:pPr>
    </w:lvl>
  </w:abstractNum>
  <w:abstractNum w:abstractNumId="1" w15:restartNumberingAfterBreak="0">
    <w:nsid w:val="191575E3"/>
    <w:multiLevelType w:val="multilevel"/>
    <w:tmpl w:val="AB463B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A37A51"/>
    <w:multiLevelType w:val="multilevel"/>
    <w:tmpl w:val="A2506AE6"/>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15:restartNumberingAfterBreak="0">
    <w:nsid w:val="3DFB7D85"/>
    <w:multiLevelType w:val="multilevel"/>
    <w:tmpl w:val="640CA84C"/>
    <w:lvl w:ilvl="0">
      <w:start w:val="1"/>
      <w:numFmt w:val="lowerLetter"/>
      <w:pStyle w:val="ItemSyaratTulis2"/>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681395038">
    <w:abstractNumId w:val="1"/>
  </w:num>
  <w:num w:numId="2" w16cid:durableId="122895681">
    <w:abstractNumId w:val="3"/>
  </w:num>
  <w:num w:numId="3" w16cid:durableId="772282557">
    <w:abstractNumId w:val="2"/>
  </w:num>
  <w:num w:numId="4" w16cid:durableId="1874683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2E0"/>
    <w:rsid w:val="0001308D"/>
    <w:rsid w:val="00045649"/>
    <w:rsid w:val="00052554"/>
    <w:rsid w:val="00084F30"/>
    <w:rsid w:val="00367C82"/>
    <w:rsid w:val="00410F8E"/>
    <w:rsid w:val="004C3B16"/>
    <w:rsid w:val="004E351D"/>
    <w:rsid w:val="00502550"/>
    <w:rsid w:val="00593697"/>
    <w:rsid w:val="00624C7E"/>
    <w:rsid w:val="006A2710"/>
    <w:rsid w:val="006C637B"/>
    <w:rsid w:val="00742EFA"/>
    <w:rsid w:val="00772D63"/>
    <w:rsid w:val="007E30CC"/>
    <w:rsid w:val="00885B97"/>
    <w:rsid w:val="008C4F61"/>
    <w:rsid w:val="008E48D6"/>
    <w:rsid w:val="009868F0"/>
    <w:rsid w:val="009B71EA"/>
    <w:rsid w:val="009C35AE"/>
    <w:rsid w:val="00D05CC1"/>
    <w:rsid w:val="00D83B61"/>
    <w:rsid w:val="00D962E0"/>
    <w:rsid w:val="00DA4D77"/>
    <w:rsid w:val="00DD23B6"/>
    <w:rsid w:val="00DF1BB2"/>
    <w:rsid w:val="00E275B1"/>
    <w:rsid w:val="00F867D6"/>
    <w:rsid w:val="00FD66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065D3"/>
  <w15:docId w15:val="{04390A81-90F1-4C19-BC47-0F367AFA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1F0"/>
    <w:rPr>
      <w:lang w:val="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3B6272"/>
    <w:pPr>
      <w:spacing w:before="100" w:beforeAutospacing="1" w:after="100" w:afterAutospacing="1"/>
    </w:pPr>
    <w:rPr>
      <w:sz w:val="24"/>
      <w:szCs w:val="24"/>
      <w:lang w:val="en-US"/>
    </w:rPr>
  </w:style>
  <w:style w:type="character" w:customStyle="1" w:styleId="apple-tab-span">
    <w:name w:val="apple-tab-span"/>
    <w:basedOn w:val="DefaultParagraphFont"/>
    <w:rsid w:val="003B6272"/>
  </w:style>
  <w:style w:type="paragraph" w:styleId="Header">
    <w:name w:val="header"/>
    <w:basedOn w:val="Normal"/>
    <w:link w:val="HeaderChar"/>
    <w:uiPriority w:val="99"/>
    <w:unhideWhenUsed/>
    <w:rsid w:val="00CD3CFF"/>
    <w:pPr>
      <w:tabs>
        <w:tab w:val="center" w:pos="4680"/>
        <w:tab w:val="right" w:pos="9360"/>
      </w:tabs>
    </w:pPr>
  </w:style>
  <w:style w:type="character" w:customStyle="1" w:styleId="HeaderChar">
    <w:name w:val="Header Char"/>
    <w:basedOn w:val="DefaultParagraphFont"/>
    <w:link w:val="Header"/>
    <w:uiPriority w:val="99"/>
    <w:rsid w:val="00CD3CFF"/>
    <w:rPr>
      <w:rFonts w:ascii="Times New Roman" w:eastAsia="Times New Roman" w:hAnsi="Times New Roman" w:cs="Times New Roman"/>
      <w:sz w:val="20"/>
      <w:szCs w:val="20"/>
      <w:lang w:val="id"/>
    </w:rPr>
  </w:style>
  <w:style w:type="paragraph" w:styleId="Footer">
    <w:name w:val="footer"/>
    <w:basedOn w:val="Normal"/>
    <w:link w:val="FooterChar"/>
    <w:uiPriority w:val="99"/>
    <w:unhideWhenUsed/>
    <w:rsid w:val="00CD3CFF"/>
    <w:pPr>
      <w:tabs>
        <w:tab w:val="center" w:pos="4680"/>
        <w:tab w:val="right" w:pos="9360"/>
      </w:tabs>
    </w:pPr>
  </w:style>
  <w:style w:type="character" w:customStyle="1" w:styleId="FooterChar">
    <w:name w:val="Footer Char"/>
    <w:basedOn w:val="DefaultParagraphFont"/>
    <w:link w:val="Footer"/>
    <w:uiPriority w:val="99"/>
    <w:rsid w:val="00CD3CFF"/>
    <w:rPr>
      <w:rFonts w:ascii="Times New Roman" w:eastAsia="Times New Roman" w:hAnsi="Times New Roman" w:cs="Times New Roman"/>
      <w:sz w:val="20"/>
      <w:szCs w:val="20"/>
      <w:lang w:val="id"/>
    </w:rPr>
  </w:style>
  <w:style w:type="character" w:customStyle="1" w:styleId="ListParagraphChar">
    <w:name w:val="List Paragraph Char"/>
    <w:link w:val="ListParagraph"/>
    <w:uiPriority w:val="34"/>
    <w:rsid w:val="000058E5"/>
    <w:rPr>
      <w:rFonts w:eastAsia="Times New Roman"/>
    </w:rPr>
  </w:style>
  <w:style w:type="paragraph" w:styleId="ListParagraph">
    <w:name w:val="List Paragraph"/>
    <w:basedOn w:val="Normal"/>
    <w:link w:val="ListParagraphChar"/>
    <w:uiPriority w:val="34"/>
    <w:qFormat/>
    <w:rsid w:val="000058E5"/>
    <w:pPr>
      <w:spacing w:after="200" w:line="276" w:lineRule="auto"/>
      <w:ind w:left="720"/>
      <w:contextualSpacing/>
    </w:pPr>
    <w:rPr>
      <w:rFonts w:asciiTheme="minorHAnsi" w:hAnsiTheme="minorHAnsi" w:cstheme="minorBidi"/>
      <w:sz w:val="22"/>
      <w:szCs w:val="22"/>
      <w:lang w:val="en-US"/>
    </w:rPr>
  </w:style>
  <w:style w:type="character" w:styleId="Hyperlink">
    <w:name w:val="Hyperlink"/>
    <w:uiPriority w:val="99"/>
    <w:unhideWhenUsed/>
    <w:rsid w:val="00B43B60"/>
    <w:rPr>
      <w:color w:val="0000FF"/>
      <w:u w:val="single"/>
    </w:rPr>
  </w:style>
  <w:style w:type="paragraph" w:customStyle="1" w:styleId="ItemSyaratTulis2">
    <w:name w:val="Item Syarat Tulis 2"/>
    <w:basedOn w:val="Normal"/>
    <w:link w:val="ItemSyaratTulis2Char"/>
    <w:qFormat/>
    <w:rsid w:val="00B43B60"/>
    <w:pPr>
      <w:numPr>
        <w:numId w:val="2"/>
      </w:numPr>
      <w:spacing w:after="75"/>
      <w:ind w:left="990"/>
      <w:contextualSpacing/>
    </w:pPr>
    <w:rPr>
      <w:sz w:val="24"/>
      <w:szCs w:val="22"/>
      <w:lang w:val="en-US" w:eastAsia="zh-TW"/>
    </w:rPr>
  </w:style>
  <w:style w:type="character" w:customStyle="1" w:styleId="ItemSyaratTulis2Char">
    <w:name w:val="Item Syarat Tulis 2 Char"/>
    <w:link w:val="ItemSyaratTulis2"/>
    <w:rsid w:val="00B43B60"/>
    <w:rPr>
      <w:rFonts w:ascii="Times New Roman" w:eastAsia="Times New Roman" w:hAnsi="Times New Roman" w:cs="Times New Roman"/>
      <w:sz w:val="24"/>
      <w:lang w:eastAsia="zh-TW"/>
    </w:rPr>
  </w:style>
  <w:style w:type="table" w:styleId="TableGrid">
    <w:name w:val="Table Grid"/>
    <w:basedOn w:val="TableNormal"/>
    <w:uiPriority w:val="39"/>
    <w:rsid w:val="00FE6F0F"/>
    <w:rPr>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00A53"/>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rPr>
      <w:sz w:val="24"/>
      <w:szCs w:val="24"/>
    </w:rPr>
    <w:tblPr>
      <w:tblStyleRowBandSize w:val="1"/>
      <w:tblStyleColBandSize w:val="1"/>
    </w:tblPr>
  </w:style>
  <w:style w:type="table" w:customStyle="1" w:styleId="a1">
    <w:basedOn w:val="TableNormal"/>
    <w:rPr>
      <w:sz w:val="24"/>
      <w:szCs w:val="24"/>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867D6"/>
    <w:pPr>
      <w:spacing w:after="120"/>
    </w:pPr>
  </w:style>
  <w:style w:type="character" w:customStyle="1" w:styleId="BodyTextChar">
    <w:name w:val="Body Text Char"/>
    <w:basedOn w:val="DefaultParagraphFont"/>
    <w:link w:val="BodyText"/>
    <w:uiPriority w:val="99"/>
    <w:rsid w:val="00F867D6"/>
    <w:rPr>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journal.45mataram.ac.id/index.php/armada"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2jp6dV/nZmomh4BPoI/dm+jv0Lg==">AMUW2mW4L2GbAMXUe5N8ZMjIi82vekBbTa6hq/myz0rhgtzD7uZ39HVeFcJojy7KqVqtMqSaL1LWJ5ENsqQZxsAg33PraopWlVo4NnyhLs+ItMko7Gpu9TfeS76Jf8JqTvGnKwBnXLoI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11</Pages>
  <Words>10702</Words>
  <Characters>61007</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Cinun</dc:creator>
  <cp:lastModifiedBy>Yorman DG</cp:lastModifiedBy>
  <cp:revision>10</cp:revision>
  <dcterms:created xsi:type="dcterms:W3CDTF">2026-06-05T03:33:00Z</dcterms:created>
  <dcterms:modified xsi:type="dcterms:W3CDTF">2026-06-27T21:14:00Z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4634c5a7-54e6-4504-8d3a-1b6bc8a67343</vt:lpwstr>
  </property>
</Properties>
</file>