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3034" w14:textId="77777777" w:rsidR="00E84392" w:rsidRPr="00E84392" w:rsidRDefault="00E84392" w:rsidP="00E84392">
      <w:pPr>
        <w:jc w:val="center"/>
        <w:rPr>
          <w:rFonts w:ascii="Footlight MT Light" w:hAnsi="Footlight MT Light"/>
          <w:b/>
          <w:bCs/>
          <w:sz w:val="32"/>
          <w:szCs w:val="32"/>
        </w:rPr>
      </w:pPr>
      <w:r w:rsidRPr="00E84392">
        <w:rPr>
          <w:rFonts w:ascii="Footlight MT Light" w:hAnsi="Footlight MT Light"/>
          <w:b/>
          <w:bCs/>
          <w:sz w:val="32"/>
          <w:szCs w:val="32"/>
        </w:rPr>
        <w:t>Strategi Pemasaran Berbasis Komunitas pada Desa Wisata Sade Lombok Tengah</w:t>
      </w:r>
    </w:p>
    <w:p w14:paraId="4A54F1F5" w14:textId="77777777" w:rsidR="00E84392" w:rsidRPr="000D7130" w:rsidRDefault="00E84392" w:rsidP="00836B24">
      <w:pPr>
        <w:jc w:val="center"/>
        <w:rPr>
          <w:rFonts w:ascii="Footlight MT Light" w:eastAsia="Gentium Basic" w:hAnsi="Footlight MT Light" w:cs="Gentium Basic"/>
          <w:sz w:val="24"/>
          <w:szCs w:val="24"/>
          <w:lang w:val="id-ID"/>
        </w:rPr>
      </w:pPr>
    </w:p>
    <w:p w14:paraId="37B12CCB" w14:textId="77777777" w:rsidR="00E84392" w:rsidRPr="00E84392" w:rsidRDefault="00E84392" w:rsidP="00E84392">
      <w:pPr>
        <w:jc w:val="center"/>
        <w:rPr>
          <w:rFonts w:ascii="Footlight MT Light" w:hAnsi="Footlight MT Light"/>
          <w:b/>
          <w:sz w:val="22"/>
          <w:szCs w:val="22"/>
        </w:rPr>
      </w:pPr>
      <w:r w:rsidRPr="00E84392">
        <w:rPr>
          <w:rFonts w:ascii="Footlight MT Light" w:hAnsi="Footlight MT Light"/>
          <w:b/>
          <w:sz w:val="22"/>
          <w:szCs w:val="22"/>
        </w:rPr>
        <w:t>Muhammad Salim</w:t>
      </w:r>
    </w:p>
    <w:p w14:paraId="718CF824" w14:textId="5E20AB32" w:rsidR="00836B24" w:rsidRPr="000D7130" w:rsidRDefault="005B69DB" w:rsidP="00836B24">
      <w:pPr>
        <w:jc w:val="center"/>
        <w:rPr>
          <w:rFonts w:ascii="Footlight MT Light" w:eastAsia="Gentium Basic" w:hAnsi="Footlight MT Light" w:cs="Gentium Basic"/>
          <w:color w:val="000000"/>
          <w:sz w:val="22"/>
          <w:szCs w:val="22"/>
        </w:rPr>
      </w:pPr>
      <w:r>
        <w:rPr>
          <w:rFonts w:ascii="Footlight MT Light" w:eastAsia="Gentium Basic" w:hAnsi="Footlight MT Light" w:cs="Gentium Basic"/>
          <w:color w:val="000000"/>
          <w:sz w:val="22"/>
          <w:szCs w:val="22"/>
          <w:lang w:val="id-ID"/>
        </w:rPr>
        <w:t xml:space="preserve">Program Studi </w:t>
      </w:r>
      <w:r w:rsidR="00E84392">
        <w:rPr>
          <w:rFonts w:ascii="Footlight MT Light" w:eastAsia="Gentium Basic" w:hAnsi="Footlight MT Light" w:cs="Gentium Basic"/>
          <w:color w:val="000000"/>
          <w:sz w:val="22"/>
          <w:szCs w:val="22"/>
          <w:lang w:val="id-ID"/>
        </w:rPr>
        <w:t>Manajemen, Universitas Bumigora, Mataram, Indonesia</w:t>
      </w:r>
    </w:p>
    <w:p w14:paraId="5026B859" w14:textId="250A58BE" w:rsidR="00E84392" w:rsidRPr="00E84392" w:rsidRDefault="004455EE" w:rsidP="00E84392">
      <w:pPr>
        <w:jc w:val="center"/>
        <w:rPr>
          <w:rFonts w:ascii="Footlight MT Light" w:hAnsi="Footlight MT Light"/>
          <w:bCs/>
        </w:rPr>
      </w:pPr>
      <w:r w:rsidRPr="004455EE">
        <w:rPr>
          <w:rFonts w:ascii="Footlight MT Light" w:eastAsia="Gentium Basic" w:hAnsi="Footlight MT Light" w:cs="Gentium Basic"/>
          <w:color w:val="000000"/>
          <w:sz w:val="22"/>
          <w:szCs w:val="22"/>
          <w:lang w:val="id-ID"/>
        </w:rPr>
        <w:t xml:space="preserve">Corresponding Author’s e-mail : </w:t>
      </w:r>
      <w:hyperlink r:id="rId9" w:history="1">
        <w:r w:rsidR="005B69DB" w:rsidRPr="00AE0F91">
          <w:rPr>
            <w:rStyle w:val="Hyperlink"/>
            <w:rFonts w:ascii="Footlight MT Light" w:hAnsi="Footlight MT Light"/>
            <w:bCs/>
            <w:color w:val="auto"/>
            <w:sz w:val="22"/>
            <w:szCs w:val="22"/>
            <w:u w:val="none"/>
          </w:rPr>
          <w:t>salimmhd@gmail.com</w:t>
        </w:r>
      </w:hyperlink>
      <w:r w:rsidR="00E84392" w:rsidRPr="00E84392">
        <w:rPr>
          <w:rFonts w:ascii="Footlight MT Light" w:hAnsi="Footlight MT Light"/>
          <w:bCs/>
        </w:rPr>
        <w:t xml:space="preserve"> </w:t>
      </w:r>
    </w:p>
    <w:p w14:paraId="3508152F" w14:textId="787B19C7" w:rsidR="00836B24" w:rsidRDefault="00836B24" w:rsidP="00E84392">
      <w:pPr>
        <w:jc w:val="center"/>
        <w:rPr>
          <w:rFonts w:ascii="Lustria" w:eastAsia="Lustria" w:hAnsi="Lustria" w:cs="Lustria"/>
          <w:sz w:val="24"/>
          <w:szCs w:val="24"/>
        </w:rPr>
      </w:pPr>
    </w:p>
    <w:tbl>
      <w:tblPr>
        <w:tblW w:w="9639" w:type="dxa"/>
        <w:tblLayout w:type="fixed"/>
        <w:tblLook w:val="0400" w:firstRow="0" w:lastRow="0" w:firstColumn="0" w:lastColumn="0" w:noHBand="0" w:noVBand="1"/>
      </w:tblPr>
      <w:tblGrid>
        <w:gridCol w:w="4070"/>
        <w:gridCol w:w="236"/>
        <w:gridCol w:w="5333"/>
      </w:tblGrid>
      <w:tr w:rsidR="00836B24" w14:paraId="57BEF0C7" w14:textId="77777777" w:rsidTr="006F2A75">
        <w:tc>
          <w:tcPr>
            <w:tcW w:w="4111" w:type="dxa"/>
            <w:tcBorders>
              <w:bottom w:val="dashed" w:sz="4" w:space="0" w:color="000000"/>
            </w:tcBorders>
            <w:tcMar>
              <w:top w:w="0" w:type="dxa"/>
              <w:left w:w="108" w:type="dxa"/>
              <w:bottom w:w="0" w:type="dxa"/>
              <w:right w:w="108" w:type="dxa"/>
            </w:tcMar>
          </w:tcPr>
          <w:p w14:paraId="122179EE" w14:textId="77777777" w:rsidR="00836B24" w:rsidRDefault="00836B24" w:rsidP="006F2A75">
            <w:pPr>
              <w:spacing w:line="480" w:lineRule="auto"/>
              <w:jc w:val="center"/>
              <w:rPr>
                <w:rFonts w:ascii="Gentium Basic" w:eastAsia="Gentium Basic" w:hAnsi="Gentium Basic" w:cs="Gentium Basic"/>
                <w:color w:val="000000"/>
              </w:rPr>
            </w:pPr>
            <w:r>
              <w:rPr>
                <w:rFonts w:ascii="Gentium Basic" w:eastAsia="Gentium Basic" w:hAnsi="Gentium Basic" w:cs="Gentium Basic"/>
                <w:noProof/>
                <w:color w:val="000000"/>
                <w:lang w:val="en-US" w:eastAsia="en-US"/>
              </w:rPr>
              <w:drawing>
                <wp:inline distT="0" distB="0" distL="0" distR="0" wp14:anchorId="722C73ED" wp14:editId="1A35833D">
                  <wp:extent cx="2473325" cy="541655"/>
                  <wp:effectExtent l="0" t="0" r="0" b="0"/>
                  <wp:docPr id="3"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black and white logo&#10;&#10;AI-generated content may be incorrect."/>
                          <pic:cNvPicPr preferRelativeResize="0"/>
                        </pic:nvPicPr>
                        <pic:blipFill>
                          <a:blip r:embed="rId10"/>
                          <a:srcRect/>
                          <a:stretch>
                            <a:fillRect/>
                          </a:stretch>
                        </pic:blipFill>
                        <pic:spPr>
                          <a:xfrm>
                            <a:off x="0" y="0"/>
                            <a:ext cx="2473325" cy="541655"/>
                          </a:xfrm>
                          <a:prstGeom prst="rect">
                            <a:avLst/>
                          </a:prstGeom>
                          <a:ln/>
                        </pic:spPr>
                      </pic:pic>
                    </a:graphicData>
                  </a:graphic>
                </wp:inline>
              </w:drawing>
            </w:r>
          </w:p>
        </w:tc>
        <w:tc>
          <w:tcPr>
            <w:tcW w:w="141" w:type="dxa"/>
          </w:tcPr>
          <w:p w14:paraId="294F4860" w14:textId="77777777" w:rsidR="00836B24" w:rsidRDefault="00836B24" w:rsidP="006F2A75">
            <w:pPr>
              <w:jc w:val="both"/>
              <w:rPr>
                <w:rFonts w:ascii="Gentium Basic" w:eastAsia="Gentium Basic" w:hAnsi="Gentium Basic" w:cs="Gentium Basic"/>
                <w:b/>
                <w:i/>
                <w:color w:val="000000"/>
                <w:sz w:val="22"/>
                <w:szCs w:val="22"/>
              </w:rPr>
            </w:pPr>
          </w:p>
        </w:tc>
        <w:tc>
          <w:tcPr>
            <w:tcW w:w="5387" w:type="dxa"/>
            <w:vMerge w:val="restart"/>
            <w:shd w:val="clear" w:color="auto" w:fill="D0CECE"/>
            <w:tcMar>
              <w:top w:w="0" w:type="dxa"/>
              <w:left w:w="108" w:type="dxa"/>
              <w:bottom w:w="0" w:type="dxa"/>
              <w:right w:w="108" w:type="dxa"/>
            </w:tcMar>
          </w:tcPr>
          <w:p w14:paraId="299F88BB" w14:textId="3EAB0521" w:rsidR="00836B24" w:rsidRDefault="00836B24" w:rsidP="006F2A75">
            <w:pPr>
              <w:jc w:val="both"/>
              <w:rPr>
                <w:rFonts w:ascii="Footlight MT Light" w:hAnsi="Footlight MT Light"/>
                <w:i/>
                <w:sz w:val="22"/>
                <w:szCs w:val="22"/>
              </w:rPr>
            </w:pPr>
            <w:r w:rsidRPr="000D7130">
              <w:rPr>
                <w:rFonts w:ascii="Footlight MT Light" w:eastAsia="Gentium Basic" w:hAnsi="Footlight MT Light" w:cs="Gentium Basic"/>
                <w:b/>
                <w:i/>
                <w:color w:val="000000"/>
                <w:sz w:val="22"/>
                <w:szCs w:val="22"/>
              </w:rPr>
              <w:t>Abstract</w:t>
            </w:r>
            <w:r w:rsidRPr="000D7130">
              <w:rPr>
                <w:rFonts w:ascii="Footlight MT Light" w:eastAsia="Gentium Basic" w:hAnsi="Footlight MT Light" w:cs="Gentium Basic"/>
                <w:i/>
                <w:color w:val="000000"/>
                <w:sz w:val="22"/>
                <w:szCs w:val="22"/>
              </w:rPr>
              <w:t xml:space="preserve"> :</w:t>
            </w:r>
            <w:r w:rsidRPr="000D7130">
              <w:rPr>
                <w:rFonts w:ascii="Footlight MT Light" w:eastAsia="Gentium Basic" w:hAnsi="Footlight MT Light" w:cs="Gentium Basic"/>
                <w:b/>
                <w:i/>
                <w:color w:val="000000"/>
                <w:sz w:val="22"/>
                <w:szCs w:val="22"/>
              </w:rPr>
              <w:t xml:space="preserve"> </w:t>
            </w:r>
            <w:r w:rsidR="00E84392" w:rsidRPr="00E84392">
              <w:rPr>
                <w:rFonts w:ascii="Footlight MT Light" w:hAnsi="Footlight MT Light"/>
                <w:i/>
                <w:sz w:val="22"/>
                <w:szCs w:val="22"/>
              </w:rPr>
              <w:t>This study aims to analyse community-based marketing strategies in Sade Tourism Village, Lombok, as an effort to strengthen its tourism appeal while preserving the cultural sustainability of the Sasak community. The research employed a qualitative descriptive approach through interviews, field observations, and document analysis. The findings indicate that the local community of Sade Village plays a strategic role in cultural preservation, the provision of tourism services (such as homestays, tour guiding, cultural performances, and local culinary experiences), as well as tourism promotion both through traditional means and digital platforms. Community-based marketing has been proven to provide economic benefits for the community, strengthen cultural identity, and create differentiation compared to other destinations. However, the study also identified several challenges, including limited digital infrastructure, insufficient human resource capacity in modern marketing, and the risk of cultural commodification that may reduce authenticity. Increasing competition among tourism destinations and changing tourist behaviour in the digital era further demand innovation in managing marketing practices. Therefore, strong collaboration between the community, government, academia, and the private sector is required to support the development of sustainable marketing strategies. This study concludes that community-based marketing in Sade Tourism Village not only functions as a tool to attract tourists but also as a crucial mechanism to safeguard the Sasak cultural heritage in the midst of globalisation.</w:t>
            </w:r>
          </w:p>
          <w:p w14:paraId="4ACA02D2" w14:textId="77777777" w:rsidR="00E84392" w:rsidRPr="000D7130" w:rsidRDefault="00E84392" w:rsidP="006F2A75">
            <w:pPr>
              <w:jc w:val="both"/>
              <w:rPr>
                <w:rFonts w:ascii="Footlight MT Light" w:eastAsia="Gentium Basic" w:hAnsi="Footlight MT Light" w:cs="Gentium Basic"/>
                <w:i/>
                <w:color w:val="000000"/>
                <w:sz w:val="22"/>
                <w:szCs w:val="22"/>
              </w:rPr>
            </w:pPr>
          </w:p>
          <w:p w14:paraId="684D2DB2" w14:textId="3CEEBB06" w:rsidR="00836B24" w:rsidRPr="000D7130" w:rsidRDefault="00836B24" w:rsidP="00F600FE">
            <w:pPr>
              <w:jc w:val="both"/>
              <w:rPr>
                <w:rFonts w:ascii="Footlight MT Light" w:eastAsia="Gentium Basic" w:hAnsi="Footlight MT Light" w:cs="Gentium Basic"/>
                <w:i/>
                <w:color w:val="000000"/>
                <w:sz w:val="22"/>
                <w:szCs w:val="22"/>
                <w:lang w:val="id-ID"/>
              </w:rPr>
            </w:pPr>
            <w:r w:rsidRPr="000D7130">
              <w:rPr>
                <w:rFonts w:ascii="Footlight MT Light" w:eastAsia="Gentium Basic" w:hAnsi="Footlight MT Light" w:cs="Gentium Basic"/>
                <w:b/>
                <w:color w:val="000000"/>
                <w:sz w:val="22"/>
                <w:szCs w:val="22"/>
              </w:rPr>
              <w:t>Keywords</w:t>
            </w:r>
            <w:r w:rsidRPr="000D7130">
              <w:rPr>
                <w:rFonts w:ascii="Footlight MT Light" w:eastAsia="Gentium Basic" w:hAnsi="Footlight MT Light" w:cs="Gentium Basic"/>
                <w:color w:val="000000"/>
                <w:sz w:val="22"/>
                <w:szCs w:val="22"/>
              </w:rPr>
              <w:t xml:space="preserve"> :</w:t>
            </w:r>
            <w:r w:rsidRPr="000D7130">
              <w:rPr>
                <w:rFonts w:ascii="Footlight MT Light" w:eastAsia="Gentium Basic" w:hAnsi="Footlight MT Light" w:cs="Gentium Basic"/>
                <w:b/>
                <w:color w:val="000000"/>
                <w:sz w:val="22"/>
                <w:szCs w:val="22"/>
              </w:rPr>
              <w:t xml:space="preserve"> </w:t>
            </w:r>
            <w:r w:rsidR="00E84392" w:rsidRPr="00E84392">
              <w:rPr>
                <w:rFonts w:ascii="Footlight MT Light" w:eastAsia="Gentium Basic" w:hAnsi="Footlight MT Light" w:cs="Gentium Basic"/>
                <w:i/>
                <w:color w:val="000000"/>
                <w:sz w:val="22"/>
                <w:szCs w:val="22"/>
              </w:rPr>
              <w:t>Marketing Strategy, Community-Based Marketing, Tourism Village</w:t>
            </w:r>
          </w:p>
          <w:p w14:paraId="73DEF59B" w14:textId="77777777" w:rsidR="00836B24" w:rsidRPr="000D7130" w:rsidRDefault="00836B24" w:rsidP="006F2A75">
            <w:pPr>
              <w:jc w:val="both"/>
              <w:rPr>
                <w:rFonts w:ascii="Footlight MT Light" w:eastAsia="Gentium Basic" w:hAnsi="Footlight MT Light" w:cs="Gentium Basic"/>
                <w:i/>
                <w:color w:val="000000"/>
                <w:sz w:val="22"/>
                <w:szCs w:val="22"/>
              </w:rPr>
            </w:pPr>
          </w:p>
          <w:p w14:paraId="4B812362" w14:textId="52B170FE" w:rsidR="00836B24" w:rsidRPr="000D7130" w:rsidRDefault="00836B24" w:rsidP="006F2A75">
            <w:pPr>
              <w:jc w:val="both"/>
              <w:rPr>
                <w:rFonts w:ascii="Footlight MT Light" w:hAnsi="Footlight MT Light"/>
                <w:sz w:val="22"/>
                <w:szCs w:val="22"/>
                <w:lang w:val="id-ID"/>
              </w:rPr>
            </w:pPr>
            <w:r w:rsidRPr="00E84392">
              <w:rPr>
                <w:rFonts w:ascii="Footlight MT Light" w:eastAsia="Gentium Basic" w:hAnsi="Footlight MT Light" w:cs="Gentium Basic"/>
                <w:b/>
                <w:color w:val="000000"/>
                <w:sz w:val="22"/>
                <w:szCs w:val="22"/>
              </w:rPr>
              <w:t>Abstrak</w:t>
            </w:r>
            <w:r w:rsidRPr="00E84392">
              <w:rPr>
                <w:rFonts w:ascii="Footlight MT Light" w:eastAsia="Gentium Basic" w:hAnsi="Footlight MT Light" w:cs="Gentium Basic"/>
                <w:color w:val="000000"/>
                <w:sz w:val="22"/>
                <w:szCs w:val="22"/>
              </w:rPr>
              <w:t xml:space="preserve"> :</w:t>
            </w:r>
            <w:r w:rsidRPr="00E84392">
              <w:rPr>
                <w:rFonts w:ascii="Footlight MT Light" w:eastAsia="Gentium Basic" w:hAnsi="Footlight MT Light" w:cs="Gentium Basic"/>
                <w:color w:val="000000"/>
                <w:sz w:val="22"/>
                <w:szCs w:val="22"/>
                <w:lang w:val="id-ID"/>
              </w:rPr>
              <w:t xml:space="preserve"> </w:t>
            </w:r>
            <w:r w:rsidR="00E84392" w:rsidRPr="00E84392">
              <w:rPr>
                <w:rFonts w:ascii="Footlight MT Light" w:hAnsi="Footlight MT Light"/>
                <w:sz w:val="22"/>
                <w:szCs w:val="22"/>
              </w:rPr>
              <w:t xml:space="preserve">Penelitian ini bertujuan untuk menganalisis strategi pemasaran berbasis komunitas pada Desa Wisata Sade Lombok sebagai upaya memperkuat daya tarik wisata sekaligus menjaga keberlanjutan budaya lokal masyarakat Sasak. Metode penelitian yang digunakan adalah kualitatif dengan pendekatan deskriptif, melalui wawancara, observasi lapangan, serta studi dokumentasi. Hasil penelitian menunjukkan bahwa komunitas lokal Desa Sade memiliki peran strategis dalam pelestarian budaya, penyediaan layanan wisata (homestay, pemandu, pertunjukan budaya, dan kuliner lokal), serta promosi pariwisata baik secara tradisional maupun melalui media digital. Strategi pemasaran berbasis komunitas terbukti mampu memberikan manfaat ekonomi bagi masyarakat, memperkuat identitas budaya, </w:t>
            </w:r>
            <w:r w:rsidR="00E84392" w:rsidRPr="00E84392">
              <w:rPr>
                <w:rFonts w:ascii="Footlight MT Light" w:hAnsi="Footlight MT Light"/>
                <w:sz w:val="22"/>
                <w:szCs w:val="22"/>
              </w:rPr>
              <w:lastRenderedPageBreak/>
              <w:t>dan menciptakan diferensiasi dibanding destinasi lain.</w:t>
            </w:r>
            <w:r w:rsidR="00E84392" w:rsidRPr="00E84392">
              <w:rPr>
                <w:rFonts w:ascii="Footlight MT Light" w:hAnsi="Footlight MT Light"/>
                <w:b/>
                <w:bCs/>
                <w:sz w:val="22"/>
                <w:szCs w:val="22"/>
              </w:rPr>
              <w:t xml:space="preserve"> </w:t>
            </w:r>
            <w:r w:rsidR="00E84392" w:rsidRPr="00E84392">
              <w:rPr>
                <w:rFonts w:ascii="Footlight MT Light" w:hAnsi="Footlight MT Light"/>
                <w:sz w:val="22"/>
                <w:szCs w:val="22"/>
              </w:rPr>
              <w:t>Meskipun demikian, penelitian juga menemukan sejumlah tantangan seperti keterbatasan infrastruktur digital, kurangnya kapasitas sumber daya manusia dalam pemasaran modern, serta risiko komersialisasi budaya yang dapat mengurangi keaslian. Persaingan antar-destinasi wisata dan perubahan perilaku wisatawan di era digital semakin menuntut Desa Sade untuk berinovasi dalam mengelola pemasaran. Oleh karena itu, dibutuhkan kolaborasi yang kuat antara masyarakat, pemerintah, akademisi, dan sektor swasta dalam mendukung pengembangan strategi pemasaran yang berkelanjutan. Penelitian ini menyimpulkan bahwa community-based marketing di Desa Wisata Sade tidak hanya berfungsi untuk menarik wisatawan, tetapi juga sebagai mekanisme penting dalam menjaga warisan budaya Sasak agar tetap lestari di tengah arus globalisasi.</w:t>
            </w:r>
          </w:p>
          <w:p w14:paraId="34374BFB" w14:textId="77777777" w:rsidR="00836B24" w:rsidRPr="000D7130" w:rsidRDefault="00836B24" w:rsidP="006F2A75">
            <w:pPr>
              <w:jc w:val="both"/>
              <w:rPr>
                <w:rFonts w:ascii="Footlight MT Light" w:eastAsia="Gentium Basic" w:hAnsi="Footlight MT Light" w:cs="Gentium Basic"/>
                <w:color w:val="000000"/>
                <w:sz w:val="22"/>
                <w:szCs w:val="22"/>
              </w:rPr>
            </w:pPr>
          </w:p>
          <w:p w14:paraId="6AA50508" w14:textId="1CCB784A" w:rsidR="00836B24" w:rsidRPr="00E84392" w:rsidRDefault="00836B24" w:rsidP="00F600FE">
            <w:pPr>
              <w:spacing w:after="100" w:afterAutospacing="1"/>
              <w:jc w:val="both"/>
              <w:rPr>
                <w:rFonts w:ascii="Footlight MT Light" w:hAnsi="Footlight MT Light"/>
                <w:sz w:val="24"/>
                <w:szCs w:val="24"/>
              </w:rPr>
            </w:pPr>
            <w:r w:rsidRPr="000D7130">
              <w:rPr>
                <w:rFonts w:ascii="Footlight MT Light" w:eastAsia="Gentium Basic" w:hAnsi="Footlight MT Light" w:cs="Gentium Basic"/>
                <w:b/>
                <w:color w:val="000000"/>
                <w:sz w:val="22"/>
                <w:szCs w:val="22"/>
              </w:rPr>
              <w:t>Kata Kunci</w:t>
            </w:r>
            <w:r w:rsidRPr="000D7130">
              <w:rPr>
                <w:rFonts w:ascii="Footlight MT Light" w:eastAsia="Gentium Basic" w:hAnsi="Footlight MT Light" w:cs="Gentium Basic"/>
                <w:color w:val="000000"/>
                <w:sz w:val="22"/>
                <w:szCs w:val="22"/>
              </w:rPr>
              <w:t xml:space="preserve"> : </w:t>
            </w:r>
            <w:r w:rsidR="00540A2D">
              <w:rPr>
                <w:rFonts w:ascii="Footlight MT Light" w:hAnsi="Footlight MT Light"/>
                <w:bCs/>
                <w:sz w:val="24"/>
                <w:szCs w:val="24"/>
              </w:rPr>
              <w:t>S</w:t>
            </w:r>
            <w:r w:rsidR="00F600FE" w:rsidRPr="00B02917">
              <w:rPr>
                <w:rFonts w:ascii="Footlight MT Light" w:hAnsi="Footlight MT Light"/>
                <w:bCs/>
                <w:sz w:val="24"/>
                <w:szCs w:val="24"/>
              </w:rPr>
              <w:t>trategi pemasaran, community-based marketing, desa wisat</w:t>
            </w:r>
            <w:r w:rsidR="00F600FE">
              <w:rPr>
                <w:rFonts w:ascii="Footlight MT Light" w:hAnsi="Footlight MT Light"/>
                <w:bCs/>
                <w:sz w:val="24"/>
                <w:szCs w:val="24"/>
              </w:rPr>
              <w:t>a</w:t>
            </w:r>
          </w:p>
        </w:tc>
      </w:tr>
      <w:tr w:rsidR="00836B24" w14:paraId="54405BBE" w14:textId="77777777" w:rsidTr="006F2A75">
        <w:trPr>
          <w:trHeight w:val="5547"/>
        </w:trPr>
        <w:tc>
          <w:tcPr>
            <w:tcW w:w="4111" w:type="dxa"/>
            <w:vMerge w:val="restart"/>
            <w:tcBorders>
              <w:top w:val="dashed" w:sz="4" w:space="0" w:color="000000"/>
              <w:left w:val="dashed" w:sz="4" w:space="0" w:color="000000"/>
              <w:bottom w:val="dashed" w:sz="4" w:space="0" w:color="000000"/>
              <w:right w:val="dashed" w:sz="4" w:space="0" w:color="000000"/>
            </w:tcBorders>
            <w:tcMar>
              <w:top w:w="0" w:type="dxa"/>
              <w:left w:w="108" w:type="dxa"/>
              <w:bottom w:w="0" w:type="dxa"/>
              <w:right w:w="108" w:type="dxa"/>
            </w:tcMar>
          </w:tcPr>
          <w:p w14:paraId="5327D935" w14:textId="376D43DF" w:rsidR="00836B24" w:rsidRPr="005C0FDC" w:rsidRDefault="00836B24" w:rsidP="006F2A75">
            <w:pPr>
              <w:spacing w:before="120" w:line="360" w:lineRule="auto"/>
              <w:jc w:val="center"/>
              <w:rPr>
                <w:rFonts w:ascii="Footlight MT Light" w:eastAsia="Calibri" w:hAnsi="Footlight MT Light" w:cs="Calibri"/>
                <w:b/>
                <w:color w:val="000000"/>
                <w:sz w:val="22"/>
                <w:szCs w:val="22"/>
              </w:rPr>
            </w:pPr>
            <w:r w:rsidRPr="005C0FDC">
              <w:rPr>
                <w:rFonts w:ascii="Footlight MT Light" w:eastAsia="Calibri" w:hAnsi="Footlight MT Light" w:cs="Calibri"/>
                <w:b/>
                <w:color w:val="000000"/>
                <w:sz w:val="22"/>
                <w:szCs w:val="22"/>
              </w:rPr>
              <w:t xml:space="preserve">e-ISSN: </w:t>
            </w:r>
            <w:r w:rsidR="0010121A" w:rsidRPr="005C0FDC">
              <w:rPr>
                <w:rFonts w:ascii="Footlight MT Light" w:eastAsia="Calibri" w:hAnsi="Footlight MT Light" w:cs="Calibri"/>
                <w:b/>
                <w:color w:val="000000"/>
                <w:sz w:val="22"/>
                <w:szCs w:val="22"/>
              </w:rPr>
              <w:t>2964-2981</w:t>
            </w:r>
          </w:p>
          <w:p w14:paraId="3AC4BB11" w14:textId="77777777" w:rsidR="00836B24" w:rsidRPr="005C0FDC" w:rsidRDefault="00836B24" w:rsidP="006F2A75">
            <w:pPr>
              <w:spacing w:line="360" w:lineRule="auto"/>
              <w:ind w:left="-105" w:right="-108"/>
              <w:jc w:val="center"/>
              <w:rPr>
                <w:rFonts w:ascii="Footlight MT Light" w:eastAsia="Calibri" w:hAnsi="Footlight MT Light" w:cs="Calibri"/>
                <w:b/>
                <w:color w:val="000000"/>
                <w:sz w:val="22"/>
                <w:szCs w:val="22"/>
              </w:rPr>
            </w:pPr>
            <w:r w:rsidRPr="005C0FDC">
              <w:rPr>
                <w:rFonts w:ascii="Footlight MT Light" w:eastAsia="Calibri" w:hAnsi="Footlight MT Light" w:cs="Calibri"/>
                <w:b/>
                <w:color w:val="000000"/>
                <w:sz w:val="22"/>
                <w:szCs w:val="22"/>
              </w:rPr>
              <w:t>ARMADA : Jurnal Penelitian Multidisiplin</w:t>
            </w:r>
          </w:p>
          <w:p w14:paraId="28495BD6" w14:textId="77777777" w:rsidR="00836B24" w:rsidRPr="005C0FDC" w:rsidRDefault="00836B24" w:rsidP="006F2A75">
            <w:pPr>
              <w:spacing w:line="360" w:lineRule="auto"/>
              <w:ind w:left="-105" w:right="-102"/>
              <w:jc w:val="center"/>
              <w:rPr>
                <w:rFonts w:ascii="Footlight MT Light" w:eastAsia="Calibri" w:hAnsi="Footlight MT Light" w:cs="Calibri"/>
                <w:color w:val="0070C0"/>
                <w:sz w:val="18"/>
                <w:szCs w:val="18"/>
              </w:rPr>
            </w:pPr>
            <w:hyperlink r:id="rId11">
              <w:r w:rsidRPr="005C0FDC">
                <w:rPr>
                  <w:rFonts w:ascii="Footlight MT Light" w:eastAsia="Calibri" w:hAnsi="Footlight MT Light" w:cs="Calibri"/>
                  <w:color w:val="0070C0"/>
                  <w:sz w:val="18"/>
                  <w:szCs w:val="18"/>
                </w:rPr>
                <w:t>https://ejournal.45mataram.</w:t>
              </w:r>
              <w:r w:rsidRPr="005C0FDC">
                <w:rPr>
                  <w:rFonts w:ascii="Footlight MT Light" w:eastAsia="Calibri" w:hAnsi="Footlight MT Light" w:cs="Calibri"/>
                  <w:color w:val="0070C0"/>
                  <w:sz w:val="18"/>
                  <w:szCs w:val="18"/>
                  <w:lang w:val="en-US"/>
                </w:rPr>
                <w:t>or</w:t>
              </w:r>
              <w:r w:rsidRPr="005C0FDC">
                <w:rPr>
                  <w:rFonts w:ascii="Footlight MT Light" w:eastAsia="Calibri" w:hAnsi="Footlight MT Light" w:cs="Calibri"/>
                  <w:color w:val="0070C0"/>
                  <w:sz w:val="18"/>
                  <w:szCs w:val="18"/>
                </w:rPr>
                <w:t>.id/index.php/armada</w:t>
              </w:r>
            </w:hyperlink>
          </w:p>
          <w:p w14:paraId="502FE510" w14:textId="0E0F3BAD" w:rsidR="00836B24" w:rsidRPr="005C0FDC" w:rsidRDefault="00836B24" w:rsidP="00760E31">
            <w:pPr>
              <w:tabs>
                <w:tab w:val="center" w:pos="4680"/>
                <w:tab w:val="right" w:pos="9360"/>
              </w:tabs>
              <w:spacing w:before="60" w:after="80" w:line="360" w:lineRule="auto"/>
              <w:jc w:val="center"/>
              <w:rPr>
                <w:rFonts w:ascii="Footlight MT Light" w:eastAsia="Calibri" w:hAnsi="Footlight MT Light" w:cs="Calibri"/>
                <w:color w:val="000000"/>
                <w:sz w:val="18"/>
                <w:szCs w:val="18"/>
              </w:rPr>
            </w:pPr>
            <w:r w:rsidRPr="005C0FDC">
              <w:rPr>
                <w:rFonts w:ascii="Footlight MT Light" w:eastAsia="Calibri" w:hAnsi="Footlight MT Light" w:cs="Calibri"/>
                <w:color w:val="000000"/>
                <w:sz w:val="18"/>
                <w:szCs w:val="18"/>
              </w:rPr>
              <w:t>Vol. 0</w:t>
            </w:r>
            <w:r w:rsidR="00236404">
              <w:rPr>
                <w:rFonts w:ascii="Footlight MT Light" w:eastAsia="Calibri" w:hAnsi="Footlight MT Light" w:cs="Calibri"/>
                <w:color w:val="000000"/>
                <w:sz w:val="18"/>
                <w:szCs w:val="18"/>
              </w:rPr>
              <w:t>3</w:t>
            </w:r>
            <w:r w:rsidRPr="005C0FDC">
              <w:rPr>
                <w:rFonts w:ascii="Footlight MT Light" w:eastAsia="Calibri" w:hAnsi="Footlight MT Light" w:cs="Calibri"/>
                <w:color w:val="000000"/>
                <w:sz w:val="18"/>
                <w:szCs w:val="18"/>
              </w:rPr>
              <w:t>, No. 0</w:t>
            </w:r>
            <w:r w:rsidR="00E25548">
              <w:rPr>
                <w:rFonts w:ascii="Footlight MT Light" w:eastAsia="Calibri" w:hAnsi="Footlight MT Light" w:cs="Calibri"/>
                <w:color w:val="000000"/>
                <w:sz w:val="18"/>
                <w:szCs w:val="18"/>
              </w:rPr>
              <w:t>8</w:t>
            </w:r>
            <w:r w:rsidRPr="005C0FDC">
              <w:rPr>
                <w:rFonts w:ascii="Footlight MT Light" w:eastAsia="Calibri" w:hAnsi="Footlight MT Light" w:cs="Calibri"/>
                <w:color w:val="000000"/>
                <w:sz w:val="18"/>
                <w:szCs w:val="18"/>
              </w:rPr>
              <w:t>,</w:t>
            </w:r>
            <w:r w:rsidR="00760E31" w:rsidRPr="005C0FDC">
              <w:rPr>
                <w:rFonts w:ascii="Footlight MT Light" w:eastAsia="Calibri" w:hAnsi="Footlight MT Light" w:cs="Calibri"/>
                <w:color w:val="000000"/>
                <w:sz w:val="18"/>
                <w:szCs w:val="18"/>
              </w:rPr>
              <w:t xml:space="preserve"> Agustus </w:t>
            </w:r>
            <w:r w:rsidRPr="005C0FDC">
              <w:rPr>
                <w:rFonts w:ascii="Footlight MT Light" w:eastAsia="Calibri" w:hAnsi="Footlight MT Light" w:cs="Calibri"/>
                <w:color w:val="000000"/>
                <w:sz w:val="18"/>
                <w:szCs w:val="18"/>
              </w:rPr>
              <w:t>202</w:t>
            </w:r>
            <w:r w:rsidR="00E44196">
              <w:rPr>
                <w:rFonts w:ascii="Footlight MT Light" w:eastAsia="Calibri" w:hAnsi="Footlight MT Light" w:cs="Calibri"/>
                <w:color w:val="000000"/>
                <w:sz w:val="18"/>
                <w:szCs w:val="18"/>
              </w:rPr>
              <w:t>5</w:t>
            </w:r>
          </w:p>
          <w:p w14:paraId="58738721" w14:textId="69128BFE" w:rsidR="00836B24" w:rsidRPr="005C0FDC" w:rsidRDefault="00836B24" w:rsidP="006F2A75">
            <w:pPr>
              <w:spacing w:line="360" w:lineRule="auto"/>
              <w:jc w:val="center"/>
              <w:rPr>
                <w:rFonts w:ascii="Footlight MT Light" w:eastAsia="Calibri" w:hAnsi="Footlight MT Light" w:cs="Calibri"/>
                <w:color w:val="000000"/>
              </w:rPr>
            </w:pPr>
            <w:r w:rsidRPr="005C0FDC">
              <w:rPr>
                <w:rFonts w:ascii="Footlight MT Light" w:eastAsia="Calibri" w:hAnsi="Footlight MT Light" w:cs="Calibri"/>
                <w:color w:val="000000"/>
                <w:sz w:val="18"/>
                <w:szCs w:val="18"/>
              </w:rPr>
              <w:t xml:space="preserve">Page: </w:t>
            </w:r>
            <w:r w:rsidR="00A20722">
              <w:rPr>
                <w:rFonts w:ascii="Footlight MT Light" w:eastAsia="Calibri" w:hAnsi="Footlight MT Light" w:cs="Calibri"/>
                <w:color w:val="000000"/>
                <w:sz w:val="18"/>
                <w:szCs w:val="18"/>
              </w:rPr>
              <w:t>256</w:t>
            </w:r>
            <w:r w:rsidR="00E84392">
              <w:rPr>
                <w:rFonts w:ascii="Footlight MT Light" w:eastAsia="Calibri" w:hAnsi="Footlight MT Light" w:cs="Calibri"/>
                <w:color w:val="000000"/>
                <w:sz w:val="18"/>
                <w:szCs w:val="18"/>
              </w:rPr>
              <w:t>-</w:t>
            </w:r>
            <w:r w:rsidR="00A20722">
              <w:rPr>
                <w:rFonts w:ascii="Footlight MT Light" w:eastAsia="Calibri" w:hAnsi="Footlight MT Light" w:cs="Calibri"/>
                <w:color w:val="000000"/>
                <w:sz w:val="18"/>
                <w:szCs w:val="18"/>
              </w:rPr>
              <w:t>263</w:t>
            </w:r>
          </w:p>
          <w:p w14:paraId="6313E18A" w14:textId="77777777" w:rsidR="00836B24" w:rsidRPr="005C0FDC" w:rsidRDefault="00836B24" w:rsidP="006F2A75">
            <w:pPr>
              <w:spacing w:line="360" w:lineRule="auto"/>
              <w:jc w:val="center"/>
              <w:rPr>
                <w:rFonts w:ascii="Footlight MT Light" w:eastAsia="Calibri" w:hAnsi="Footlight MT Light" w:cs="Calibri"/>
                <w:b/>
                <w:color w:val="000000"/>
                <w:sz w:val="22"/>
                <w:szCs w:val="22"/>
              </w:rPr>
            </w:pPr>
          </w:p>
          <w:p w14:paraId="0CC06233" w14:textId="77777777" w:rsidR="00836B24" w:rsidRPr="005C0FDC" w:rsidRDefault="00836B24" w:rsidP="006F2A75">
            <w:pPr>
              <w:spacing w:line="360" w:lineRule="auto"/>
              <w:jc w:val="center"/>
              <w:rPr>
                <w:rFonts w:ascii="Footlight MT Light" w:eastAsia="Calibri" w:hAnsi="Footlight MT Light" w:cs="Calibri"/>
                <w:b/>
                <w:color w:val="000000"/>
              </w:rPr>
            </w:pPr>
            <w:r w:rsidRPr="005C0FDC">
              <w:rPr>
                <w:rFonts w:ascii="Footlight MT Light" w:eastAsia="Calibri" w:hAnsi="Footlight MT Light" w:cs="Calibri"/>
                <w:b/>
                <w:color w:val="000000"/>
              </w:rPr>
              <w:t>DOI:</w:t>
            </w:r>
          </w:p>
          <w:p w14:paraId="4B83E3B1" w14:textId="7B0C02A5" w:rsidR="00836B24" w:rsidRPr="005C0FDC" w:rsidRDefault="00836B24" w:rsidP="006F2A75">
            <w:pPr>
              <w:spacing w:line="360" w:lineRule="auto"/>
              <w:jc w:val="center"/>
              <w:rPr>
                <w:rFonts w:ascii="Footlight MT Light" w:eastAsia="Calibri" w:hAnsi="Footlight MT Light" w:cs="Calibri"/>
                <w:color w:val="002060"/>
                <w:sz w:val="18"/>
                <w:szCs w:val="18"/>
              </w:rPr>
            </w:pPr>
            <w:r w:rsidRPr="005C0FDC">
              <w:rPr>
                <w:rFonts w:ascii="Footlight MT Light" w:eastAsia="Calibri" w:hAnsi="Footlight MT Light" w:cs="Calibri"/>
                <w:color w:val="0070C0"/>
                <w:sz w:val="18"/>
                <w:szCs w:val="18"/>
              </w:rPr>
              <w:t>https://doi.org/</w:t>
            </w:r>
            <w:r w:rsidR="00CB0720" w:rsidRPr="00CB0720">
              <w:rPr>
                <w:rFonts w:ascii="Footlight MT Light" w:eastAsia="Calibri" w:hAnsi="Footlight MT Light" w:cs="Calibri"/>
                <w:color w:val="0070C0"/>
                <w:sz w:val="18"/>
                <w:szCs w:val="18"/>
                <w:lang w:val="id-ID"/>
              </w:rPr>
              <w:t>10.55681/armada.v2i6</w:t>
            </w:r>
            <w:r w:rsidRPr="005C0FDC">
              <w:rPr>
                <w:rFonts w:ascii="Footlight MT Light" w:eastAsia="Calibri" w:hAnsi="Footlight MT Light" w:cs="Calibri"/>
                <w:color w:val="0070C0"/>
                <w:sz w:val="18"/>
                <w:szCs w:val="18"/>
              </w:rPr>
              <w:t>.</w:t>
            </w:r>
            <w:r w:rsidR="005B69DB">
              <w:rPr>
                <w:rFonts w:ascii="Footlight MT Light" w:eastAsia="Calibri" w:hAnsi="Footlight MT Light" w:cs="Calibri"/>
                <w:color w:val="0070C0"/>
                <w:sz w:val="18"/>
                <w:szCs w:val="18"/>
              </w:rPr>
              <w:t>1683</w:t>
            </w:r>
          </w:p>
          <w:p w14:paraId="1DC2DABD" w14:textId="77777777" w:rsidR="00836B24" w:rsidRPr="005C0FDC" w:rsidRDefault="00836B24" w:rsidP="006F2A75">
            <w:pPr>
              <w:spacing w:line="360" w:lineRule="auto"/>
              <w:jc w:val="center"/>
              <w:rPr>
                <w:rFonts w:ascii="Footlight MT Light" w:eastAsia="Calibri" w:hAnsi="Footlight MT Light" w:cs="Calibri"/>
                <w:b/>
                <w:color w:val="000000"/>
                <w:sz w:val="22"/>
                <w:szCs w:val="22"/>
              </w:rPr>
            </w:pPr>
          </w:p>
          <w:p w14:paraId="6A944967" w14:textId="77777777" w:rsidR="00760E31" w:rsidRPr="005C0FDC" w:rsidRDefault="00760E31" w:rsidP="00760E31">
            <w:pPr>
              <w:spacing w:line="360" w:lineRule="auto"/>
              <w:jc w:val="center"/>
              <w:rPr>
                <w:rFonts w:ascii="Footlight MT Light" w:eastAsia="Calibri" w:hAnsi="Footlight MT Light" w:cs="Calibri"/>
                <w:b/>
                <w:color w:val="000000"/>
              </w:rPr>
            </w:pPr>
            <w:r w:rsidRPr="005C0FDC">
              <w:rPr>
                <w:rFonts w:ascii="Footlight MT Light" w:eastAsia="Calibri" w:hAnsi="Footlight MT Light" w:cs="Calibri"/>
                <w:b/>
                <w:color w:val="000000"/>
              </w:rPr>
              <w:t>Article History:</w:t>
            </w:r>
          </w:p>
          <w:p w14:paraId="087E6A4D" w14:textId="44001F32" w:rsidR="005B69DB" w:rsidRPr="005C0FDC" w:rsidRDefault="005B69DB" w:rsidP="005B69DB">
            <w:pPr>
              <w:spacing w:line="360" w:lineRule="auto"/>
              <w:jc w:val="center"/>
              <w:rPr>
                <w:rFonts w:ascii="Footlight MT Light" w:eastAsia="Calibri" w:hAnsi="Footlight MT Light" w:cs="Calibri"/>
                <w:color w:val="000000"/>
              </w:rPr>
            </w:pPr>
            <w:r w:rsidRPr="005C0FDC">
              <w:rPr>
                <w:rFonts w:ascii="Footlight MT Light" w:eastAsia="Calibri" w:hAnsi="Footlight MT Light" w:cs="Calibri"/>
                <w:color w:val="000000"/>
              </w:rPr>
              <w:t>Received:</w:t>
            </w:r>
            <w:r>
              <w:rPr>
                <w:rFonts w:ascii="Footlight MT Light" w:eastAsia="Calibri" w:hAnsi="Footlight MT Light" w:cs="Calibri"/>
                <w:color w:val="000000"/>
              </w:rPr>
              <w:t xml:space="preserve"> Juli 20, 2025</w:t>
            </w:r>
          </w:p>
          <w:p w14:paraId="74C0B0AF" w14:textId="07033662" w:rsidR="005B69DB" w:rsidRPr="005C0FDC" w:rsidRDefault="005B69DB" w:rsidP="005B69DB">
            <w:pPr>
              <w:spacing w:line="360" w:lineRule="auto"/>
              <w:jc w:val="center"/>
              <w:rPr>
                <w:rFonts w:ascii="Footlight MT Light" w:eastAsia="Calibri" w:hAnsi="Footlight MT Light" w:cs="Calibri"/>
                <w:color w:val="000000"/>
              </w:rPr>
            </w:pPr>
            <w:r w:rsidRPr="005C0FDC">
              <w:rPr>
                <w:rFonts w:ascii="Footlight MT Light" w:eastAsia="Calibri" w:hAnsi="Footlight MT Light" w:cs="Calibri"/>
                <w:color w:val="000000"/>
              </w:rPr>
              <w:t xml:space="preserve">Revised: </w:t>
            </w:r>
            <w:r>
              <w:rPr>
                <w:rFonts w:ascii="Footlight MT Light" w:eastAsia="Calibri" w:hAnsi="Footlight MT Light" w:cs="Calibri"/>
                <w:color w:val="000000"/>
              </w:rPr>
              <w:t xml:space="preserve">Agustus 15, 2025 </w:t>
            </w:r>
          </w:p>
          <w:p w14:paraId="659DD0CC" w14:textId="2A0C6108" w:rsidR="00836B24" w:rsidRDefault="005B69DB" w:rsidP="005B69DB">
            <w:pPr>
              <w:spacing w:line="360" w:lineRule="auto"/>
              <w:jc w:val="center"/>
              <w:rPr>
                <w:rFonts w:ascii="Gentium Basic" w:eastAsia="Gentium Basic" w:hAnsi="Gentium Basic" w:cs="Gentium Basic"/>
                <w:color w:val="000000"/>
              </w:rPr>
            </w:pPr>
            <w:r w:rsidRPr="005C0FDC">
              <w:rPr>
                <w:rFonts w:ascii="Footlight MT Light" w:eastAsia="Calibri" w:hAnsi="Footlight MT Light" w:cs="Calibri"/>
                <w:color w:val="000000"/>
              </w:rPr>
              <w:t xml:space="preserve">Accepted: </w:t>
            </w:r>
            <w:r>
              <w:rPr>
                <w:rFonts w:ascii="Footlight MT Light" w:eastAsia="Calibri" w:hAnsi="Footlight MT Light" w:cs="Calibri"/>
                <w:color w:val="000000"/>
              </w:rPr>
              <w:t xml:space="preserve">Agustus 20, 2025 </w:t>
            </w:r>
          </w:p>
        </w:tc>
        <w:tc>
          <w:tcPr>
            <w:tcW w:w="141" w:type="dxa"/>
            <w:tcBorders>
              <w:left w:val="dashed" w:sz="4" w:space="0" w:color="000000"/>
            </w:tcBorders>
          </w:tcPr>
          <w:p w14:paraId="72601CD7" w14:textId="77777777" w:rsidR="00836B24" w:rsidRDefault="00836B24" w:rsidP="006F2A75">
            <w:pPr>
              <w:jc w:val="both"/>
              <w:rPr>
                <w:rFonts w:ascii="Gentium Basic" w:eastAsia="Gentium Basic" w:hAnsi="Gentium Basic" w:cs="Gentium Basic"/>
                <w:b/>
                <w:i/>
                <w:color w:val="000000"/>
                <w:sz w:val="22"/>
                <w:szCs w:val="22"/>
              </w:rPr>
            </w:pPr>
          </w:p>
        </w:tc>
        <w:tc>
          <w:tcPr>
            <w:tcW w:w="5387" w:type="dxa"/>
            <w:vMerge/>
            <w:shd w:val="clear" w:color="auto" w:fill="D0CECE"/>
            <w:tcMar>
              <w:top w:w="0" w:type="dxa"/>
              <w:left w:w="108" w:type="dxa"/>
              <w:bottom w:w="0" w:type="dxa"/>
              <w:right w:w="108" w:type="dxa"/>
            </w:tcMar>
          </w:tcPr>
          <w:p w14:paraId="6C3F522C" w14:textId="77777777" w:rsidR="00836B24" w:rsidRDefault="00836B24" w:rsidP="006F2A75">
            <w:pPr>
              <w:widowControl w:val="0"/>
              <w:pBdr>
                <w:top w:val="nil"/>
                <w:left w:val="nil"/>
                <w:bottom w:val="nil"/>
                <w:right w:val="nil"/>
                <w:between w:val="nil"/>
              </w:pBdr>
              <w:spacing w:line="276" w:lineRule="auto"/>
              <w:rPr>
                <w:rFonts w:ascii="Gentium Basic" w:eastAsia="Gentium Basic" w:hAnsi="Gentium Basic" w:cs="Gentium Basic"/>
                <w:b/>
                <w:i/>
                <w:color w:val="000000"/>
                <w:sz w:val="22"/>
                <w:szCs w:val="22"/>
              </w:rPr>
            </w:pPr>
          </w:p>
        </w:tc>
      </w:tr>
      <w:tr w:rsidR="00836B24" w14:paraId="77A9BE5A" w14:textId="77777777" w:rsidTr="006F2A75">
        <w:tc>
          <w:tcPr>
            <w:tcW w:w="4111" w:type="dxa"/>
            <w:vMerge/>
            <w:tcBorders>
              <w:top w:val="dashed" w:sz="4" w:space="0" w:color="000000"/>
              <w:left w:val="dashed" w:sz="4" w:space="0" w:color="000000"/>
              <w:bottom w:val="dashed" w:sz="4" w:space="0" w:color="000000"/>
              <w:right w:val="dashed" w:sz="4" w:space="0" w:color="000000"/>
            </w:tcBorders>
            <w:tcMar>
              <w:top w:w="0" w:type="dxa"/>
              <w:left w:w="108" w:type="dxa"/>
              <w:bottom w:w="0" w:type="dxa"/>
              <w:right w:w="108" w:type="dxa"/>
            </w:tcMar>
          </w:tcPr>
          <w:p w14:paraId="440C684E" w14:textId="77777777" w:rsidR="00836B24" w:rsidRDefault="00836B24" w:rsidP="006F2A75">
            <w:pPr>
              <w:widowControl w:val="0"/>
              <w:pBdr>
                <w:top w:val="nil"/>
                <w:left w:val="nil"/>
                <w:bottom w:val="nil"/>
                <w:right w:val="nil"/>
                <w:between w:val="nil"/>
              </w:pBdr>
              <w:spacing w:line="276" w:lineRule="auto"/>
              <w:rPr>
                <w:rFonts w:ascii="Gentium Basic" w:eastAsia="Gentium Basic" w:hAnsi="Gentium Basic" w:cs="Gentium Basic"/>
                <w:b/>
                <w:i/>
                <w:color w:val="000000"/>
                <w:sz w:val="22"/>
                <w:szCs w:val="22"/>
              </w:rPr>
            </w:pPr>
          </w:p>
        </w:tc>
        <w:tc>
          <w:tcPr>
            <w:tcW w:w="141" w:type="dxa"/>
            <w:tcBorders>
              <w:left w:val="dashed" w:sz="4" w:space="0" w:color="000000"/>
            </w:tcBorders>
          </w:tcPr>
          <w:p w14:paraId="2B0A61D6" w14:textId="77777777" w:rsidR="00836B24" w:rsidRDefault="00836B24" w:rsidP="006F2A75">
            <w:pPr>
              <w:jc w:val="center"/>
              <w:rPr>
                <w:rFonts w:ascii="Gentium Basic" w:eastAsia="Gentium Basic" w:hAnsi="Gentium Basic" w:cs="Gentium Basic"/>
                <w:color w:val="231F20"/>
                <w:sz w:val="18"/>
                <w:szCs w:val="18"/>
              </w:rPr>
            </w:pPr>
          </w:p>
        </w:tc>
        <w:tc>
          <w:tcPr>
            <w:tcW w:w="5387" w:type="dxa"/>
            <w:vMerge/>
            <w:shd w:val="clear" w:color="auto" w:fill="D0CECE"/>
            <w:tcMar>
              <w:top w:w="0" w:type="dxa"/>
              <w:left w:w="108" w:type="dxa"/>
              <w:bottom w:w="0" w:type="dxa"/>
              <w:right w:w="108" w:type="dxa"/>
            </w:tcMar>
          </w:tcPr>
          <w:p w14:paraId="48581EFD" w14:textId="77777777" w:rsidR="00836B24" w:rsidRDefault="00836B24" w:rsidP="006F2A75">
            <w:pPr>
              <w:widowControl w:val="0"/>
              <w:pBdr>
                <w:top w:val="nil"/>
                <w:left w:val="nil"/>
                <w:bottom w:val="nil"/>
                <w:right w:val="nil"/>
                <w:between w:val="nil"/>
              </w:pBdr>
              <w:spacing w:line="276" w:lineRule="auto"/>
              <w:rPr>
                <w:rFonts w:ascii="Gentium Basic" w:eastAsia="Gentium Basic" w:hAnsi="Gentium Basic" w:cs="Gentium Basic"/>
                <w:color w:val="231F20"/>
                <w:sz w:val="18"/>
                <w:szCs w:val="18"/>
              </w:rPr>
            </w:pPr>
          </w:p>
        </w:tc>
      </w:tr>
    </w:tbl>
    <w:p w14:paraId="45F878DB" w14:textId="77777777" w:rsidR="00836B24" w:rsidRDefault="00836B24" w:rsidP="00836B24">
      <w:pPr>
        <w:pBdr>
          <w:top w:val="nil"/>
          <w:left w:val="nil"/>
          <w:bottom w:val="nil"/>
          <w:right w:val="nil"/>
          <w:between w:val="nil"/>
        </w:pBdr>
        <w:rPr>
          <w:color w:val="000000"/>
        </w:rPr>
      </w:pPr>
    </w:p>
    <w:p w14:paraId="684154A1" w14:textId="77777777" w:rsidR="00836B24" w:rsidRDefault="00836B24" w:rsidP="00836B24">
      <w:pPr>
        <w:pBdr>
          <w:top w:val="nil"/>
          <w:left w:val="nil"/>
          <w:bottom w:val="nil"/>
          <w:right w:val="nil"/>
          <w:between w:val="nil"/>
        </w:pBdr>
        <w:rPr>
          <w:color w:val="000000"/>
        </w:rPr>
        <w:sectPr w:rsidR="00836B24" w:rsidSect="00A20722">
          <w:headerReference w:type="default" r:id="rId12"/>
          <w:footerReference w:type="default" r:id="rId13"/>
          <w:footerReference w:type="first" r:id="rId14"/>
          <w:pgSz w:w="11906" w:h="16838"/>
          <w:pgMar w:top="1418" w:right="1134" w:bottom="1418" w:left="1134" w:header="0" w:footer="0" w:gutter="0"/>
          <w:pgNumType w:start="256"/>
          <w:cols w:space="720"/>
          <w:titlePg/>
        </w:sectPr>
      </w:pPr>
    </w:p>
    <w:p w14:paraId="1183CF9D" w14:textId="77777777" w:rsidR="00836B24" w:rsidRDefault="00836B24" w:rsidP="00836B24">
      <w:pPr>
        <w:pBdr>
          <w:top w:val="nil"/>
          <w:left w:val="nil"/>
          <w:bottom w:val="nil"/>
          <w:right w:val="nil"/>
          <w:between w:val="nil"/>
        </w:pBdr>
        <w:rPr>
          <w:rFonts w:ascii="Footlight MT Light" w:eastAsia="Gentium Basic" w:hAnsi="Footlight MT Light" w:cs="Gentium Basic"/>
          <w:b/>
          <w:color w:val="000000"/>
          <w:sz w:val="24"/>
          <w:szCs w:val="24"/>
        </w:rPr>
      </w:pPr>
    </w:p>
    <w:p w14:paraId="23FBDDD8" w14:textId="77777777" w:rsidR="00836B24" w:rsidRPr="000D7130" w:rsidRDefault="00836B24" w:rsidP="00E84392">
      <w:pPr>
        <w:pBdr>
          <w:top w:val="nil"/>
          <w:left w:val="nil"/>
          <w:bottom w:val="nil"/>
          <w:right w:val="nil"/>
          <w:between w:val="nil"/>
        </w:pBdr>
        <w:rPr>
          <w:rFonts w:ascii="Footlight MT Light" w:eastAsia="Gentium Basic" w:hAnsi="Footlight MT Light" w:cs="Gentium Basic"/>
          <w:b/>
          <w:color w:val="000000"/>
          <w:sz w:val="24"/>
          <w:szCs w:val="24"/>
        </w:rPr>
      </w:pPr>
      <w:r w:rsidRPr="000D7130">
        <w:rPr>
          <w:rFonts w:ascii="Footlight MT Light" w:eastAsia="Gentium Basic" w:hAnsi="Footlight MT Light" w:cs="Gentium Basic"/>
          <w:b/>
          <w:color w:val="000000"/>
          <w:sz w:val="24"/>
          <w:szCs w:val="24"/>
        </w:rPr>
        <w:t xml:space="preserve">PENDAHULUAN </w:t>
      </w:r>
    </w:p>
    <w:p w14:paraId="636C7936"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 xml:space="preserve">Desa Sade, yang terletak di Rembitan, Kecamatan Pujut, Kabupaten Lombok Tengah, Nusa Tenggara Barat, dikenal sebagai salah satu dusun Sasak yang paling menjaga tradisi budaya dan kearifan lokal. Desa ini mempertahankan arsitektur bangunan khas Sasak, tenun tradisional, tarian Gendang Beleq, dan seni pertunjukan </w:t>
      </w:r>
      <w:r w:rsidRPr="00E84392">
        <w:rPr>
          <w:rFonts w:ascii="Footlight MT Light" w:hAnsi="Footlight MT Light"/>
          <w:i/>
          <w:iCs/>
          <w:sz w:val="24"/>
          <w:szCs w:val="24"/>
        </w:rPr>
        <w:t>presean</w:t>
      </w:r>
      <w:r w:rsidRPr="00E84392">
        <w:rPr>
          <w:rFonts w:ascii="Footlight MT Light" w:hAnsi="Footlight MT Light"/>
          <w:sz w:val="24"/>
          <w:szCs w:val="24"/>
        </w:rPr>
        <w:t>.  Desa Sade bukan hanya sebagai objek wisata budaya, tetapi juga sebagai simbol pelestarian budaya Sasak yang telah menjadi magnet wisatawan domestik dan mancanegara. Keberadaan adat dan budaya yang masih lestari memberikan daya tarik tersendiri dalam konteks wisata budaya (cultural tourism). Kondisi geografis yang relatif mudah dijangkau, ditambah dengan fasilitas sederhana namun otentik, memperkuat posisi Sade sebagai desa wisata budaya yang penting di NTB.  Selain aspek fisik dan budaya, Desa Sade juga telah ikut dalam kegiatan yang menunjukkan pengakuan secara nasional: misalnya, NTB mendaftarkan Desa Wisata Sade dalam lomba Anugerah Desa Wisata Indonesia (ADWI) 2021 kategori budaya. Hal ini menunjukkan bahwa pemerintah juga mengakui potensi Sade sebagai desa wisata budaya. Namun, ada indikasi bahwa dengan meningkatnya jumlah pengunjung dan interaksi dengan pasar wisata, akan ada tekanan terhadap pelestarian tradisi dan lingkungan desa.</w:t>
      </w:r>
    </w:p>
    <w:p w14:paraId="5372E93A"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 xml:space="preserve">Potensi budaya di Desa Sade sangat kaya, bukan hanya dari segi tangible (bangunan, tenun, arsitektur, pertunjukan) tetapi juga intangible: adat istiadat, ritual seperti </w:t>
      </w:r>
      <w:r w:rsidRPr="00E84392">
        <w:rPr>
          <w:rFonts w:ascii="Footlight MT Light" w:hAnsi="Footlight MT Light"/>
          <w:i/>
          <w:iCs/>
          <w:sz w:val="24"/>
          <w:szCs w:val="24"/>
        </w:rPr>
        <w:t>sesaji</w:t>
      </w:r>
      <w:r w:rsidRPr="00E84392">
        <w:rPr>
          <w:rFonts w:ascii="Footlight MT Light" w:hAnsi="Footlight MT Light"/>
          <w:sz w:val="24"/>
          <w:szCs w:val="24"/>
        </w:rPr>
        <w:t xml:space="preserve">, presean, dan nilai-nilai sosial komunitas Sasak. Penelitian </w:t>
      </w:r>
      <w:r w:rsidRPr="00E84392">
        <w:rPr>
          <w:rFonts w:ascii="Footlight MT Light" w:hAnsi="Footlight MT Light"/>
          <w:i/>
          <w:iCs/>
          <w:sz w:val="24"/>
          <w:szCs w:val="24"/>
        </w:rPr>
        <w:t>Potensi Presean dalam Meningkatkan Pariwisata di Desa Wisata Sade, Lombok</w:t>
      </w:r>
      <w:r w:rsidRPr="00E84392">
        <w:rPr>
          <w:rFonts w:ascii="Footlight MT Light" w:hAnsi="Footlight MT Light"/>
          <w:sz w:val="24"/>
          <w:szCs w:val="24"/>
        </w:rPr>
        <w:t xml:space="preserve"> (2023) menunjukkan bahwa presean sebagai seni pertunjukan tradisional memiliki potensi besar untuk menarik wisatawan karena keunikan, daya dramatik, dan kedekatannya dengan budaya Sasak yang autentik. Kearifan lokal yang ada di Desa Sade seperti bangunan tradisional, tenun, upacara adat, interaksi sosial komunitas jika dikelola dengan baik, dapat memperkuat branding desa sebagai destinasi wisata budaya yang unik, berbeda dari wisata massal. Ini sesuai dengan trend global wisata budaya yang makin diminati wisatawan yang ingin pengalaman otentik dan mendalam (authentic experience).</w:t>
      </w:r>
    </w:p>
    <w:p w14:paraId="7A6A4363"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 xml:space="preserve">Masyarakat Desa Wisata Sade memiliki peran yang sangat penting dalam menjaga keberlanjutan pariwisata berbasis budaya. Sebagai pelestari budaya, mereka tidak hanya mempertahankan nilai-nilai tradisi melalui seni pertunjukan seperti presean, kegiatan menenun, hingga ritual adat, tetapi juga memastikan keberadaan bangunan tradisional tetap terjaga keasliannya. Identitas budaya yang mereka lestarikan menjadi daya tarik utama bagi wisatawan, sehingga berkontribusi langsung pada citra desa sebagai destinasi wisata berbasis kearifan lokal. Dengan demikian, keberadaan masyarakat bukan hanya sekadar penjaga warisan leluhur, tetapi juga aktor utama yang memastikan kelestarian budaya selaras dengan perkembangan pariwisata. </w:t>
      </w:r>
      <w:r w:rsidRPr="00E84392">
        <w:rPr>
          <w:rFonts w:ascii="Footlight MT Light" w:hAnsi="Footlight MT Light"/>
          <w:sz w:val="24"/>
          <w:szCs w:val="24"/>
        </w:rPr>
        <w:lastRenderedPageBreak/>
        <w:t>Selain menjaga budaya, masyarakat juga berperan aktif dalam menyediakan layanan wisata yang menunjang kenyamanan pengunjung. Layanan tersebut meliputi penyediaan homestay bernuansa tradisional, peran sebagai pemandu wisata lokal, hingga pengelolaan toko souvenir dan kuliner khas yang mencerminkan identitas Sasak. Mereka juga berupaya mempromosikan desa melalui komunikasi lokal maupun kerja sama dengan pemerintah, media, dan dinas pariwisata. Namun, keterbatasan akses pasar, pemanfaatan media digital, serta minimnya strategi pemasaran berbasis komunitas menjadi tantangan yang masih dihadapi. Oleh karena itu, peningkatan kapasitas masyarakat dalam hal pemasaran modern sangat diperlukan agar potensi wisata Desa Sade dapat berkembang lebih optimal.</w:t>
      </w:r>
    </w:p>
    <w:p w14:paraId="59A82DB1"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 xml:space="preserve">Tinjauan penelitian terdahulu menunjukkan bahwa berbagai studi terbaru tahun 2020–2025 relevan untuk mengkaji strategi pemasaran berbasis komunitas di Desa Wisata Sade. Penelitian tentang potensi presean (2023) menyoroti seni tradisional sebagai daya tarik wisata sekaligus peluang pengembangan ekonomi masyarakat (ejournal.publine.or.id). Kajian mengenai kearifan lokal (2022–2023) mengidentifikasi unsur tangible dan intangible, seperti tradisi, fasilitas, aksesibilitas, dan keterlibatan komunitas sebagai faktor penting dalam menarik wisatawan (E-Journal Umaha). Sementara itu, penelitian Suprihatin &amp; Hailuddin (2022–2023) menggunakan metode Analytical Hierarchy Process (AHP) untuk menegaskan bahwa selain budaya, pembangunan berkelanjutan, identitas lokal, dan infrastruktur merupakan aspek strategis dalam pengembangan Desa Sade (Jurnal UBAYA). Dari perspektif yang lebih luas, penelitian mengenai </w:t>
      </w:r>
      <w:r w:rsidRPr="00E84392">
        <w:rPr>
          <w:rFonts w:ascii="Footlight MT Light" w:hAnsi="Footlight MT Light"/>
          <w:i/>
          <w:iCs/>
          <w:sz w:val="24"/>
          <w:szCs w:val="24"/>
        </w:rPr>
        <w:t>cultural branding</w:t>
      </w:r>
      <w:r w:rsidRPr="00E84392">
        <w:rPr>
          <w:rFonts w:ascii="Footlight MT Light" w:hAnsi="Footlight MT Light"/>
          <w:sz w:val="24"/>
          <w:szCs w:val="24"/>
        </w:rPr>
        <w:t xml:space="preserve"> di Jember, Jawa Timur, menggarisbawahi pentingnya strategi branding berbasis budaya untuk mewujudkan desa wisata berkelanjutan, dengan keterlibatan masyarakat sebagai kunci (Jurnal Ilmiah UMM). Selain itu, kajian tentang </w:t>
      </w:r>
      <w:r w:rsidRPr="00E84392">
        <w:rPr>
          <w:rFonts w:ascii="Footlight MT Light" w:hAnsi="Footlight MT Light"/>
          <w:i/>
          <w:iCs/>
          <w:sz w:val="24"/>
          <w:szCs w:val="24"/>
        </w:rPr>
        <w:t>digital tourism</w:t>
      </w:r>
      <w:r w:rsidRPr="00E84392">
        <w:rPr>
          <w:rFonts w:ascii="Footlight MT Light" w:hAnsi="Footlight MT Light"/>
          <w:sz w:val="24"/>
          <w:szCs w:val="24"/>
        </w:rPr>
        <w:t xml:space="preserve"> (2023) menyoroti peluang besar digitalisasi dalam pemasaran destinasi wisata di Indonesia, meskipun masih menghadapi tantangan berupa keamanan data, infrastruktur, dan literasi digital (Jurnal STIE AAS). Temuan-temuan ini memberikan dasar teoritis sekaligus perbandingan yang relevan untuk menganalisis strategi pemasaran komunitas di Desa Wisata Sade.</w:t>
      </w:r>
    </w:p>
    <w:p w14:paraId="23EDBB8A"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 xml:space="preserve">Tantangan pemasaran Desa Wisata di era digital semakin kompleks, mencakup persaingan antardestinasi, perubahan perilaku wisatawan, keterbatasan infrastruktur, hingga isu keberlanjutan. Banyak desa wisata di Indonesia gencar memperkuat branding, fasilitas, dan pemasaran digital, sehingga Desa Sade dituntut untuk terus berinovasi agar tidak tertinggal. Wisatawan masa kini lebih mengutamakan pengalaman otentik, interaksi dengan masyarakat lokal, dan cerita budaya, sekaligus menuntut kemudahan digital seperti informasi online, sistem booking, review, dan kehadiran di media sosial. Di sisi lain, keterbatasan infrastruktur internet, rendahnya kapasitas sumber daya manusia dalam membuat konten kreatif, serta pengelolaan media digital yang belum berkelanjutan menjadi hambatan yang nyata. Isu keberlanjutan juga muncul, karena pemasaran yang tidak berbasis komunitas dapat memicu komersialisasi budaya yang mereduksi nilai autentik serta merusak lingkungan desa. Selain itu, dampak pandemi dan pasca-pandemi menuntut desa wisata untuk lebih fleksibel dan cepat mengadopsi strategi digital. Sejumlah penelitian menegaskan bahwa </w:t>
      </w:r>
      <w:r w:rsidRPr="00E84392">
        <w:rPr>
          <w:rFonts w:ascii="Footlight MT Light" w:hAnsi="Footlight MT Light"/>
          <w:i/>
          <w:iCs/>
          <w:sz w:val="24"/>
          <w:szCs w:val="24"/>
        </w:rPr>
        <w:t>digital marketing</w:t>
      </w:r>
      <w:r w:rsidRPr="00E84392">
        <w:rPr>
          <w:rFonts w:ascii="Footlight MT Light" w:hAnsi="Footlight MT Light"/>
          <w:sz w:val="24"/>
          <w:szCs w:val="24"/>
        </w:rPr>
        <w:t>, media sosial, konten kreatif, serta kolaborasi berbasis komunitas adalah faktor krusial untuk menghadapi tantangan ini; misalnya, pelatihan pemasaran digital di Denpasar membantu pengelola desa wisata memanfaatkan teknologi informasi (ANTARA News), sementara studi di Taraju, Tasikmalaya, membuktikan bahwa media sosial dan situs web mampu meningkatkan penjualan tiket meski masih terkendala akses internet dan keterampilan digital (ejurnal.ars.ac.id).</w:t>
      </w:r>
    </w:p>
    <w:p w14:paraId="3D82F136" w14:textId="1CB7D2F2" w:rsidR="00E84392" w:rsidRPr="00E84392" w:rsidRDefault="00E84392" w:rsidP="00E84392">
      <w:pPr>
        <w:pStyle w:val="ListParagraph"/>
        <w:spacing w:after="0" w:line="240" w:lineRule="auto"/>
        <w:ind w:left="0" w:firstLine="720"/>
        <w:jc w:val="both"/>
        <w:rPr>
          <w:rFonts w:ascii="Footlight MT Light" w:hAnsi="Footlight MT Light" w:cs="Times New Roman"/>
          <w:sz w:val="24"/>
          <w:szCs w:val="24"/>
          <w:lang w:val="id-ID"/>
        </w:rPr>
      </w:pPr>
      <w:r w:rsidRPr="00E84392">
        <w:rPr>
          <w:rFonts w:ascii="Footlight MT Light" w:hAnsi="Footlight MT Light" w:cs="Times New Roman"/>
          <w:sz w:val="24"/>
          <w:szCs w:val="24"/>
        </w:rPr>
        <w:t>Strategi pemasaran berbasis komunitas (</w:t>
      </w:r>
      <w:r w:rsidRPr="00E84392">
        <w:rPr>
          <w:rFonts w:ascii="Footlight MT Light" w:hAnsi="Footlight MT Light" w:cs="Times New Roman"/>
          <w:i/>
          <w:iCs/>
          <w:sz w:val="24"/>
          <w:szCs w:val="24"/>
        </w:rPr>
        <w:t>community-based marketing</w:t>
      </w:r>
      <w:r w:rsidRPr="00E84392">
        <w:rPr>
          <w:rFonts w:ascii="Footlight MT Light" w:hAnsi="Footlight MT Light" w:cs="Times New Roman"/>
          <w:sz w:val="24"/>
          <w:szCs w:val="24"/>
        </w:rPr>
        <w:t xml:space="preserve">) dalam konteks pariwisata merupakan pendekatan yang menempatkan masyarakat lokal bukan hanya sebagai objek wisata, melainkan sebagai pelaku aktif dalam perencanaan, produksi, promosi, dan pengelolaan produk wisata. Melalui strategi ini, masyarakat memperoleh manfaat ekonomi langsung, peningkatan kapasitas, serta rasa kepemilikan terhadap destinasi, yang pada akhirnya memperkuat pemberdayaan komunitas. Selain itu, keaslian budaya dan kearifan lokal menjadi diferensiasi unik yang sulit ditiru destinasi lain, sekaligus menjaga keberlanjutan budaya dan lingkungan karena masyarakat memiliki kepentingan langsung untuk melestarikannya. Keterlibatan masyarakat dalam promosi juga memberikan nilai tambah, di mana mereka berperan </w:t>
      </w:r>
      <w:r w:rsidRPr="00E84392">
        <w:rPr>
          <w:rFonts w:ascii="Footlight MT Light" w:hAnsi="Footlight MT Light" w:cs="Times New Roman"/>
          <w:sz w:val="24"/>
          <w:szCs w:val="24"/>
        </w:rPr>
        <w:lastRenderedPageBreak/>
        <w:t>sebagai “duta budaya” yang menyampaikan testimoni dan cerita autentik melalui interaksi langsung maupun media digital. Dalam konteks Desa Sade, strategi ini sangat relevan mengingat desa tersebut telah memiliki basis budaya dan komunitas yang kuat. Namun, agar efektif, implementasinya membutuhkan perencanaan matang, pelatihan sumber daya manusia, kolaborasi dengan pemerintah dan pemangku kepentingan, dukungan teknologi digital, serta regulasi lokal yang mendukung keberlanjutan pariwisata.</w:t>
      </w:r>
    </w:p>
    <w:p w14:paraId="5A6E2F66" w14:textId="77777777" w:rsidR="00836B24" w:rsidRPr="000D7130" w:rsidRDefault="00836B24" w:rsidP="00836B24">
      <w:pPr>
        <w:jc w:val="both"/>
        <w:rPr>
          <w:rFonts w:ascii="Footlight MT Light" w:hAnsi="Footlight MT Light"/>
          <w:sz w:val="24"/>
          <w:szCs w:val="24"/>
          <w:lang w:val="id-ID"/>
        </w:rPr>
      </w:pPr>
    </w:p>
    <w:p w14:paraId="501D3AFD" w14:textId="77777777" w:rsidR="00836B24" w:rsidRPr="000D7130" w:rsidRDefault="00836B24" w:rsidP="00836B24">
      <w:pPr>
        <w:pBdr>
          <w:top w:val="nil"/>
          <w:left w:val="nil"/>
          <w:bottom w:val="nil"/>
          <w:right w:val="nil"/>
          <w:between w:val="nil"/>
        </w:pBdr>
        <w:rPr>
          <w:rFonts w:ascii="Footlight MT Light" w:eastAsia="Gentium Basic" w:hAnsi="Footlight MT Light" w:cs="Gentium Basic"/>
          <w:b/>
          <w:color w:val="000000"/>
          <w:sz w:val="24"/>
          <w:szCs w:val="24"/>
        </w:rPr>
      </w:pPr>
      <w:r w:rsidRPr="000D7130">
        <w:rPr>
          <w:rFonts w:ascii="Footlight MT Light" w:eastAsia="Gentium Basic" w:hAnsi="Footlight MT Light" w:cs="Gentium Basic"/>
          <w:b/>
          <w:color w:val="000000"/>
          <w:sz w:val="24"/>
          <w:szCs w:val="24"/>
        </w:rPr>
        <w:t>METODE PE</w:t>
      </w:r>
      <w:r w:rsidRPr="000D7130">
        <w:rPr>
          <w:rFonts w:ascii="Footlight MT Light" w:eastAsia="Gentium Basic" w:hAnsi="Footlight MT Light" w:cs="Gentium Basic"/>
          <w:b/>
          <w:sz w:val="24"/>
          <w:szCs w:val="24"/>
        </w:rPr>
        <w:t>NELITI</w:t>
      </w:r>
      <w:r w:rsidRPr="000D7130">
        <w:rPr>
          <w:rFonts w:ascii="Footlight MT Light" w:eastAsia="Gentium Basic" w:hAnsi="Footlight MT Light" w:cs="Gentium Basic"/>
          <w:b/>
          <w:color w:val="000000"/>
          <w:sz w:val="24"/>
          <w:szCs w:val="24"/>
        </w:rPr>
        <w:t xml:space="preserve">AN </w:t>
      </w:r>
    </w:p>
    <w:p w14:paraId="3B3B20AB" w14:textId="77777777" w:rsidR="00E84392" w:rsidRPr="00E84392" w:rsidRDefault="00E84392" w:rsidP="00E84392">
      <w:pPr>
        <w:ind w:firstLine="720"/>
        <w:jc w:val="both"/>
        <w:rPr>
          <w:rFonts w:ascii="Footlight MT Light" w:hAnsi="Footlight MT Light"/>
          <w:sz w:val="24"/>
          <w:szCs w:val="24"/>
        </w:rPr>
      </w:pPr>
      <w:r w:rsidRPr="00E84392">
        <w:rPr>
          <w:rFonts w:ascii="Footlight MT Light" w:hAnsi="Footlight MT Light"/>
          <w:sz w:val="24"/>
          <w:szCs w:val="24"/>
        </w:rPr>
        <w:t>Penelitian ini menggunakan pendekatan kualitatif dengan metode deskriptif untuk memahami secara mendalam strategi pemasaran berbasis komunitas yang diterapkan di Desa Wisata Sade. Pendekatan kualitatif dipilih karena mampu menggali realitas sosial, budaya, serta keterlibatan masyarakat dalam menjaga dan memasarkan produk wisata secara alami sesuai konteks lokal (Creswell &amp; Poth, 2021). Lokasi penelitian ditentukan secara purposive, yaitu di Desa Wisata Sade, Lombok Tengah, karena desa ini merupakan salah satu ikon wisata budaya Sasak yang masih menjaga tradisi dan memiliki potensi besar dalam pengembangan pariwisata berbasis komunitas (Putra &amp; Hidayat, 2022). Sumber data penelitian terdiri dari: Data primer, diperoleh melalui wawancara mendalam dengan tokoh masyarakat, pengelola desa wisata, pelaku UMKM, pemandu wisata, serta wisatawan. Data sekunder, berupa dokumen, laporan dinas pariwisata, literatur terkait strategi pemasaran desa wisata, serta artikel jurnal.</w:t>
      </w:r>
    </w:p>
    <w:p w14:paraId="53AF6D37" w14:textId="3BC37F1A" w:rsidR="00836B24" w:rsidRPr="000D7130" w:rsidRDefault="00E84392" w:rsidP="00E84392">
      <w:pPr>
        <w:pStyle w:val="ListParagraph"/>
        <w:tabs>
          <w:tab w:val="left" w:pos="0"/>
        </w:tabs>
        <w:spacing w:after="0" w:line="240" w:lineRule="auto"/>
        <w:ind w:left="0" w:firstLine="851"/>
        <w:jc w:val="both"/>
        <w:rPr>
          <w:rFonts w:ascii="Footlight MT Light" w:hAnsi="Footlight MT Light" w:cs="Times New Roman"/>
          <w:sz w:val="24"/>
          <w:szCs w:val="24"/>
        </w:rPr>
      </w:pPr>
      <w:r w:rsidRPr="00E84392">
        <w:rPr>
          <w:rFonts w:ascii="Footlight MT Light" w:hAnsi="Footlight MT Light" w:cs="Times New Roman"/>
          <w:sz w:val="24"/>
          <w:szCs w:val="24"/>
        </w:rPr>
        <w:t>Teknik pengumpulan data meliputi observasi partisipatif, wawancara semi-terstruktur, dan dokumentasi. Observasi digunakan untuk melihat secara langsung aktivitas masyarakat dalam melestarikan budaya dan melayani wisatawan. Wawancara semi-terstruktur dilakukan untuk menggali pengalaman, persepsi, dan strategi pemasaran komunitas. Dokumentasi berupa catatan kegiatan, foto, brosur promosi, serta publikasi digital desa wisata juga dikaji sebagai data pendukung (Sugiyono, 2020). Analisis data menggunakan model interaktif Miles, Huberman, &amp; Saldaña (2019) yang meliputi reduksi data, penyajian data, dan penarikan kesimpulan. Validitas data diperkuat dengan triangulasi sumber dan teknik, sehingga hasil penelitian memiliki kredibilitas dan dapat dipertanggungjawabkan (Moleong, 2021).</w:t>
      </w:r>
      <w:r w:rsidRPr="000D7130">
        <w:rPr>
          <w:rFonts w:ascii="Footlight MT Light" w:hAnsi="Footlight MT Light" w:cs="Times New Roman"/>
          <w:sz w:val="24"/>
          <w:szCs w:val="24"/>
        </w:rPr>
        <w:t xml:space="preserve"> </w:t>
      </w:r>
    </w:p>
    <w:p w14:paraId="0BFDC37B" w14:textId="77777777" w:rsidR="00836B24" w:rsidRPr="000D7130" w:rsidRDefault="00836B24" w:rsidP="00836B24">
      <w:pPr>
        <w:jc w:val="both"/>
        <w:rPr>
          <w:rFonts w:ascii="Footlight MT Light" w:eastAsia="Gentium Basic" w:hAnsi="Footlight MT Light" w:cs="Gentium Basic"/>
          <w:sz w:val="24"/>
          <w:szCs w:val="24"/>
        </w:rPr>
      </w:pPr>
    </w:p>
    <w:p w14:paraId="2140F9C3" w14:textId="77777777" w:rsidR="00836B24" w:rsidRDefault="00836B24" w:rsidP="00836B24">
      <w:pPr>
        <w:jc w:val="both"/>
        <w:rPr>
          <w:rFonts w:ascii="Footlight MT Light" w:eastAsia="Gentium Basic" w:hAnsi="Footlight MT Light" w:cs="Gentium Basic"/>
          <w:b/>
          <w:sz w:val="24"/>
          <w:szCs w:val="24"/>
        </w:rPr>
      </w:pPr>
      <w:r w:rsidRPr="000D7130">
        <w:rPr>
          <w:rFonts w:ascii="Footlight MT Light" w:eastAsia="Gentium Basic" w:hAnsi="Footlight MT Light" w:cs="Gentium Basic"/>
          <w:b/>
          <w:sz w:val="24"/>
          <w:szCs w:val="24"/>
        </w:rPr>
        <w:t xml:space="preserve">HASIL DAN PEMBAHASAN </w:t>
      </w:r>
    </w:p>
    <w:p w14:paraId="5900508C" w14:textId="77777777" w:rsidR="00E84392" w:rsidRDefault="00E84392" w:rsidP="00E84392">
      <w:pPr>
        <w:spacing w:line="276" w:lineRule="auto"/>
        <w:jc w:val="both"/>
        <w:rPr>
          <w:rFonts w:ascii="Footlight MT Light" w:hAnsi="Footlight MT Light"/>
          <w:b/>
          <w:bCs/>
          <w:sz w:val="24"/>
          <w:szCs w:val="24"/>
        </w:rPr>
      </w:pPr>
      <w:r w:rsidRPr="00E84392">
        <w:rPr>
          <w:rFonts w:ascii="Footlight MT Light" w:hAnsi="Footlight MT Light"/>
          <w:b/>
          <w:bCs/>
          <w:sz w:val="24"/>
          <w:szCs w:val="24"/>
        </w:rPr>
        <w:t xml:space="preserve">Hasil </w:t>
      </w:r>
    </w:p>
    <w:p w14:paraId="42F1DAE4" w14:textId="588372E0"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Gambaran Umum Desa Wisata Sade</w:t>
      </w:r>
    </w:p>
    <w:p w14:paraId="53672C7A" w14:textId="77777777"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Desa Wisata Sade merupakan salah satu ikon budaya masyarakat Sasak di Lombok yang memiliki daya tarik utama berupa keaslian arsitektur rumah tradisional, seni pertunjukan, ritual adat, serta kerajinan tangan seperti tenun ikat. Desa ini terletak di Kecamatan Pujut, Lombok Tengah, dan sejak lama dikenal sebagai destinasi wisata budaya yang masih menjaga tradisi leluhur. Keberadaan masyarakat Sade sebagai pelaku utama dalam pelestarian budaya menjadikan desa ini berbeda dengan destinasi wisata lain yang lebih menonjolkan atraksi buatan. Wisatawan yang datang, baik domestik maupun mancanegara, umumnya mencari pengalaman otentik, mulai dari menyaksikan upacara adat hingga berinteraksi langsung dengan penduduk desa (Suprihatin &amp; Hailuddin, 2022).</w:t>
      </w:r>
    </w:p>
    <w:p w14:paraId="38222162" w14:textId="77777777"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Hasil observasi menunjukkan bahwa meskipun Desa Sade memiliki potensi budaya yang kuat, tantangan dalam pemasaran masih cukup signifikan. Sebagian besar promosi masih mengandalkan kunjungan langsung atau rekomendasi dari mulut ke mulut, sementara pemanfaatan media digital masih terbatas. Hal ini sejalan dengan temuan penelitian sebelumnya bahwa desa wisata di Indonesia sering menghadapi keterbatasan kapasitas digital, padahal tren pariwisata modern sangat bergantung pada teknologi informasi (Pradnyawati &amp; Yulianti, 2021).</w:t>
      </w:r>
    </w:p>
    <w:p w14:paraId="10677702" w14:textId="4DEE9396"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Peran Komunitas Lokal dalam Pemasaran</w:t>
      </w:r>
    </w:p>
    <w:p w14:paraId="6C4D495D" w14:textId="77777777"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 xml:space="preserve">Masyarakat Desa Sade tidak hanya bertindak sebagai pelestari budaya, tetapi juga sebagai pelaku aktif dalam penyediaan layanan wisata. Peran ini mencakup penyediaan homestay, toko </w:t>
      </w:r>
      <w:r w:rsidRPr="00E84392">
        <w:rPr>
          <w:rFonts w:ascii="Footlight MT Light" w:hAnsi="Footlight MT Light"/>
        </w:rPr>
        <w:lastRenderedPageBreak/>
        <w:t xml:space="preserve">kerajinan, pemandu wisata lokal, hingga penyelenggara pertunjukan seni. Dengan demikian, pemasaran desa wisata tidak terlepas dari keterlibatan langsung masyarakat. Bentuk keterlibatan ini dikenal sebagai </w:t>
      </w:r>
      <w:r w:rsidRPr="00E84392">
        <w:rPr>
          <w:rStyle w:val="Emphasis"/>
          <w:rFonts w:ascii="Footlight MT Light" w:hAnsi="Footlight MT Light"/>
        </w:rPr>
        <w:t>community-based marketing</w:t>
      </w:r>
      <w:r w:rsidRPr="00E84392">
        <w:rPr>
          <w:rFonts w:ascii="Footlight MT Light" w:hAnsi="Footlight MT Light"/>
        </w:rPr>
        <w:t>, di mana komunitas lokal dilibatkan dalam perencanaan, produksi, promosi, dan pengelolaan destinasi (Sutanto, 2023).</w:t>
      </w:r>
    </w:p>
    <w:p w14:paraId="6C04531E" w14:textId="77777777" w:rsidR="00E84392" w:rsidRPr="00E84392" w:rsidRDefault="00E84392" w:rsidP="00E84392">
      <w:pPr>
        <w:pStyle w:val="NormalWeb"/>
        <w:spacing w:before="0" w:beforeAutospacing="0" w:after="0" w:afterAutospacing="0" w:line="276" w:lineRule="auto"/>
        <w:jc w:val="both"/>
        <w:rPr>
          <w:rFonts w:ascii="Footlight MT Light" w:hAnsi="Footlight MT Light"/>
        </w:rPr>
      </w:pPr>
      <w:r w:rsidRPr="00E84392">
        <w:rPr>
          <w:rFonts w:ascii="Footlight MT Light" w:hAnsi="Footlight MT Light"/>
        </w:rPr>
        <w:t>Dari hasil wawancara dengan pengelola desa wisata, diketahui bahwa masyarakat berperan sebagai “duta budaya” yang menyampaikan nilai-nilai otentik kepada wisatawan. Misalnya, penenun lokal sering menjelaskan filosofi motif tenun, pemandu wisata menceritakan sejarah rumah tradisional, dan para sesepuh menjelaskan makna upacara adat. Testimoni dan narasi dari masyarakat inilah yang menjadi kekuatan utama dalam memasarkan Desa Sade, karena wisatawan cenderung menghargai pengalaman yang personal dan autentik (Putra &amp; Hidayat, 2022).</w:t>
      </w:r>
    </w:p>
    <w:p w14:paraId="7CF59A1C" w14:textId="6787022E"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Strategi Pemasaran Berbasis Komunitas</w:t>
      </w:r>
    </w:p>
    <w:p w14:paraId="752619E2" w14:textId="77777777"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Strategi pemasaran yang diterapkan di Desa Wisata Sade secara garis besar terbagi menjadi tiga aspek: pelestarian budaya, pelayanan wisata, dan promosi.</w:t>
      </w:r>
    </w:p>
    <w:p w14:paraId="51BBDABA"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Style w:val="Strong"/>
          <w:rFonts w:ascii="Footlight MT Light" w:hAnsi="Footlight MT Light"/>
          <w:b w:val="0"/>
          <w:bCs w:val="0"/>
        </w:rPr>
      </w:pPr>
      <w:r w:rsidRPr="00E84392">
        <w:rPr>
          <w:rStyle w:val="Strong"/>
          <w:rFonts w:ascii="Footlight MT Light" w:hAnsi="Footlight MT Light"/>
          <w:b w:val="0"/>
          <w:bCs w:val="0"/>
        </w:rPr>
        <w:t>Pelestarian budaya</w:t>
      </w:r>
    </w:p>
    <w:p w14:paraId="2EC2F381"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Fonts w:ascii="Footlight MT Light" w:hAnsi="Footlight MT Light"/>
        </w:rPr>
      </w:pPr>
      <w:r w:rsidRPr="00E84392">
        <w:rPr>
          <w:rFonts w:ascii="Footlight MT Light" w:hAnsi="Footlight MT Light"/>
        </w:rPr>
        <w:t>Desa Sade menekankan pada kelestarian seni tradisional seperti presean, menenun, serta ritual adat. Pelestarian ini bukan hanya menjaga identitas budaya, tetapi juga berfungsi sebagai atraksi wisata. Budaya lokal menjadi diferensiasi unik yang tidak mudah ditiru destinasi lain (Kusuma &amp; Astuti, 2021).</w:t>
      </w:r>
    </w:p>
    <w:p w14:paraId="08045EDA"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Style w:val="Strong"/>
          <w:rFonts w:ascii="Footlight MT Light" w:hAnsi="Footlight MT Light"/>
          <w:b w:val="0"/>
          <w:bCs w:val="0"/>
        </w:rPr>
      </w:pPr>
      <w:r w:rsidRPr="00E84392">
        <w:rPr>
          <w:rStyle w:val="Strong"/>
          <w:rFonts w:ascii="Footlight MT Light" w:hAnsi="Footlight MT Light"/>
          <w:b w:val="0"/>
          <w:bCs w:val="0"/>
        </w:rPr>
        <w:t>Pelayanan wisata</w:t>
      </w:r>
    </w:p>
    <w:p w14:paraId="2AB79382"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Fonts w:ascii="Footlight MT Light" w:hAnsi="Footlight MT Light"/>
        </w:rPr>
      </w:pPr>
      <w:r w:rsidRPr="00E84392">
        <w:rPr>
          <w:rFonts w:ascii="Footlight MT Light" w:hAnsi="Footlight MT Light"/>
        </w:rPr>
        <w:t>Layanan berupa homestay, toko souvenir, dan atraksi budaya dikelola langsung oleh masyarakat. Dengan demikian, pendapatan wisata tidak hanya masuk ke desa secara kolektif, tetapi juga langsung dirasakan oleh keluarga dan individu. Model ini memperkuat rasa kepemilikan (sense of ownership) terhadap destinasi (Rahmawati, 2023).</w:t>
      </w:r>
    </w:p>
    <w:p w14:paraId="5FA2B28C"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Style w:val="Strong"/>
          <w:rFonts w:ascii="Footlight MT Light" w:hAnsi="Footlight MT Light"/>
          <w:b w:val="0"/>
          <w:bCs w:val="0"/>
        </w:rPr>
      </w:pPr>
      <w:r w:rsidRPr="00E84392">
        <w:rPr>
          <w:rStyle w:val="Strong"/>
          <w:rFonts w:ascii="Footlight MT Light" w:hAnsi="Footlight MT Light"/>
          <w:b w:val="0"/>
          <w:bCs w:val="0"/>
        </w:rPr>
        <w:t>Promosi dan komunikasi</w:t>
      </w:r>
    </w:p>
    <w:p w14:paraId="7FA89A45" w14:textId="77777777" w:rsidR="00E84392" w:rsidRPr="00E84392" w:rsidRDefault="00E84392" w:rsidP="00E84392">
      <w:pPr>
        <w:pStyle w:val="NormalWeb"/>
        <w:numPr>
          <w:ilvl w:val="0"/>
          <w:numId w:val="21"/>
        </w:numPr>
        <w:tabs>
          <w:tab w:val="clear" w:pos="720"/>
          <w:tab w:val="num" w:pos="360"/>
        </w:tabs>
        <w:spacing w:before="0" w:beforeAutospacing="0" w:after="0" w:afterAutospacing="0" w:line="276" w:lineRule="auto"/>
        <w:ind w:left="360"/>
        <w:jc w:val="both"/>
        <w:rPr>
          <w:rFonts w:ascii="Footlight MT Light" w:hAnsi="Footlight MT Light"/>
        </w:rPr>
      </w:pPr>
      <w:r w:rsidRPr="00E84392">
        <w:rPr>
          <w:rFonts w:ascii="Footlight MT Light" w:hAnsi="Footlight MT Light"/>
        </w:rPr>
        <w:t>Promosi masih banyak dilakukan melalui komunikasi lokal dan kolaborasi dengan dinas pariwisata. Namun, masyarakat juga mulai belajar menggunakan media sosial, seperti Instagram dan Facebook, untuk memperkenalkan atraksi budaya. Sayangnya, keterbatasan literasi digital membuat pemanfaatan media online belum optimal (Astuti &amp; Nugroho, 2020).</w:t>
      </w:r>
    </w:p>
    <w:p w14:paraId="02333B1D" w14:textId="4199AEAA"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Tantangan yang Dihadapi</w:t>
      </w:r>
    </w:p>
    <w:p w14:paraId="026F6656" w14:textId="77777777"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 xml:space="preserve">Walaupun strategi pemasaran berbasis komunitas sudah berjalan, Desa Sade masih menghadapi sejumlah tantangan. Pertama, persaingan dengan desa wisata lain di Lombok yang mulai menguatkan branding digital mereka. Misalnya, Desa Wisata Ende yang memanfaatkan media sosial secara intensif untuk promosi kuliner dan budaya (Lestari, 2021). Kedua, perubahan perilaku wisatawan yang semakin bergantung pada platform digital. Wisatawan kini lebih mengandalkan </w:t>
      </w:r>
      <w:r w:rsidRPr="00E84392">
        <w:rPr>
          <w:rStyle w:val="Emphasis"/>
          <w:rFonts w:ascii="Footlight MT Light" w:hAnsi="Footlight MT Light"/>
        </w:rPr>
        <w:t>online review</w:t>
      </w:r>
      <w:r w:rsidRPr="00E84392">
        <w:rPr>
          <w:rFonts w:ascii="Footlight MT Light" w:hAnsi="Footlight MT Light"/>
        </w:rPr>
        <w:t xml:space="preserve">, </w:t>
      </w:r>
      <w:r w:rsidRPr="00E84392">
        <w:rPr>
          <w:rStyle w:val="Emphasis"/>
          <w:rFonts w:ascii="Footlight MT Light" w:hAnsi="Footlight MT Light"/>
        </w:rPr>
        <w:t>online booking</w:t>
      </w:r>
      <w:r w:rsidRPr="00E84392">
        <w:rPr>
          <w:rFonts w:ascii="Footlight MT Light" w:hAnsi="Footlight MT Light"/>
        </w:rPr>
        <w:t>, serta konten digital sebagai referensi utama sebelum berkunjung (Sudiarta &amp; Dewi, 2022).</w:t>
      </w:r>
    </w:p>
    <w:p w14:paraId="7F804667" w14:textId="29BD5CB4" w:rsidR="00E84392" w:rsidRPr="00E84392" w:rsidRDefault="00E84392" w:rsidP="00E84392">
      <w:pPr>
        <w:pStyle w:val="NormalWeb"/>
        <w:spacing w:before="0" w:beforeAutospacing="0" w:after="0" w:afterAutospacing="0" w:line="276" w:lineRule="auto"/>
        <w:ind w:firstLine="567"/>
        <w:jc w:val="both"/>
        <w:rPr>
          <w:rFonts w:ascii="Footlight MT Light" w:hAnsi="Footlight MT Light"/>
        </w:rPr>
      </w:pPr>
      <w:r w:rsidRPr="00E84392">
        <w:rPr>
          <w:rFonts w:ascii="Footlight MT Light" w:hAnsi="Footlight MT Light"/>
        </w:rPr>
        <w:t xml:space="preserve">Selain itu, keterbatasan infrastruktur internet di wilayah desa juga menghambat strategi promosi digital. Masih banyak warga yang belum memiliki keterampilan untuk membuat konten kreatif seperti video pendek atau fotografi profesional. Hal ini berbanding terbalik dengan tren global yang menekankan pentingnya </w:t>
      </w:r>
      <w:r w:rsidRPr="00E84392">
        <w:rPr>
          <w:rStyle w:val="Emphasis"/>
          <w:rFonts w:ascii="Footlight MT Light" w:hAnsi="Footlight MT Light"/>
        </w:rPr>
        <w:t>digital storytelling</w:t>
      </w:r>
      <w:r w:rsidRPr="00E84392">
        <w:rPr>
          <w:rFonts w:ascii="Footlight MT Light" w:hAnsi="Footlight MT Light"/>
        </w:rPr>
        <w:t xml:space="preserve"> dalam memasarkan destinasi wisata (UNWTO, 2023).</w:t>
      </w:r>
      <w:r>
        <w:rPr>
          <w:rFonts w:ascii="Footlight MT Light" w:hAnsi="Footlight MT Light"/>
        </w:rPr>
        <w:t xml:space="preserve"> </w:t>
      </w:r>
      <w:r w:rsidRPr="00E84392">
        <w:rPr>
          <w:rFonts w:ascii="Footlight MT Light" w:hAnsi="Footlight MT Light"/>
        </w:rPr>
        <w:t>Isu keberlanjutan juga menjadi perhatian, karena adanya risiko komersialisasi budaya. Beberapa ritual adat berpotensi kehilangan makna jika hanya ditampilkan untuk kepentingan wisata. Oleh karena itu, masyarakat Sade harus menjaga keseimbangan antara kebutuhan ekonomi dan pelestarian nilai-nilai autentik (Wardani &amp; Prasetyo, 2020).</w:t>
      </w:r>
    </w:p>
    <w:p w14:paraId="7719CD00" w14:textId="45E4C1BA"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Upaya Penguatan Strategi</w:t>
      </w:r>
    </w:p>
    <w:p w14:paraId="33DA833E" w14:textId="77777777" w:rsidR="00E84392" w:rsidRPr="00E84392" w:rsidRDefault="00E84392" w:rsidP="00E84392">
      <w:pPr>
        <w:pStyle w:val="NormalWeb"/>
        <w:spacing w:before="0" w:beforeAutospacing="0" w:after="0" w:afterAutospacing="0" w:line="276" w:lineRule="auto"/>
        <w:ind w:firstLine="720"/>
        <w:jc w:val="both"/>
        <w:rPr>
          <w:rFonts w:ascii="Footlight MT Light" w:hAnsi="Footlight MT Light"/>
        </w:rPr>
      </w:pPr>
      <w:r w:rsidRPr="00E84392">
        <w:rPr>
          <w:rFonts w:ascii="Footlight MT Light" w:hAnsi="Footlight MT Light"/>
        </w:rPr>
        <w:lastRenderedPageBreak/>
        <w:t>Untuk menghadapi tantangan tersebut, beberapa upaya penguatan strategi pemasaran berbasis komunitas di Desa Sade telah dilakukan. Pertama, pelaksanaan pelatihan pemasaran digital bagi pemuda desa, bekerja sama dengan Dinas Pariwisata Lombok Tengah. Pelatihan ini berfokus pada penggunaan media sosial, pembuatan konten kreatif, dan strategi branding desa wisata. Hasil wawancara menunjukkan bahwa generasi muda lebih adaptif dalam menguasai keterampilan digital, sehingga mereka diharapkan menjadi motor penggerak promosi desa ke depan (Hidayati, 2023).</w:t>
      </w:r>
    </w:p>
    <w:p w14:paraId="60E9C04E" w14:textId="77777777" w:rsidR="00E84392" w:rsidRPr="00E84392" w:rsidRDefault="00E84392" w:rsidP="00E84392">
      <w:pPr>
        <w:pStyle w:val="NormalWeb"/>
        <w:spacing w:before="0" w:beforeAutospacing="0" w:after="0" w:afterAutospacing="0" w:line="276" w:lineRule="auto"/>
        <w:jc w:val="both"/>
        <w:rPr>
          <w:rFonts w:ascii="Footlight MT Light" w:hAnsi="Footlight MT Light"/>
        </w:rPr>
      </w:pPr>
      <w:r w:rsidRPr="00E84392">
        <w:rPr>
          <w:rFonts w:ascii="Footlight MT Light" w:hAnsi="Footlight MT Light"/>
        </w:rPr>
        <w:t>Kedua, kolaborasi dengan pihak eksternal seperti pemerintah daerah, perguruan tinggi, dan media. Misalnya, Universitas Mataram pernah melakukan program pendampingan digital marketing untuk UMKM tenun di Desa Sade, sehingga produk mereka dapat dipasarkan melalui marketplace online (Wulandari, 2022).</w:t>
      </w:r>
    </w:p>
    <w:p w14:paraId="028367ED" w14:textId="77777777" w:rsidR="00E84392" w:rsidRPr="00E84392" w:rsidRDefault="00E84392" w:rsidP="00E84392">
      <w:pPr>
        <w:pStyle w:val="NormalWeb"/>
        <w:spacing w:before="0" w:beforeAutospacing="0" w:after="0" w:afterAutospacing="0" w:line="276" w:lineRule="auto"/>
        <w:jc w:val="both"/>
        <w:rPr>
          <w:rFonts w:ascii="Footlight MT Light" w:hAnsi="Footlight MT Light"/>
        </w:rPr>
      </w:pPr>
      <w:r w:rsidRPr="00E84392">
        <w:rPr>
          <w:rFonts w:ascii="Footlight MT Light" w:hAnsi="Footlight MT Light"/>
        </w:rPr>
        <w:t xml:space="preserve">Ketiga, integrasi nilai keberlanjutan dalam pemasaran. Masyarakat desa mulai menekankan bahwa setiap kunjungan wisatawan harus memberikan dampak positif bagi pelestarian budaya dan lingkungan. Hal ini sesuai dengan konsep </w:t>
      </w:r>
      <w:r w:rsidRPr="00E84392">
        <w:rPr>
          <w:rStyle w:val="Emphasis"/>
          <w:rFonts w:ascii="Footlight MT Light" w:hAnsi="Footlight MT Light"/>
        </w:rPr>
        <w:t>community-based tourism</w:t>
      </w:r>
      <w:r w:rsidRPr="00E84392">
        <w:rPr>
          <w:rFonts w:ascii="Footlight MT Light" w:hAnsi="Footlight MT Light"/>
        </w:rPr>
        <w:t xml:space="preserve"> yang menekankan partisipasi aktif masyarakat sekaligus menjaga keseimbangan sosial, budaya, dan ekologi (Novitasari &amp; Yuliana, 2021).</w:t>
      </w:r>
    </w:p>
    <w:p w14:paraId="06369EAE" w14:textId="6245E337" w:rsidR="00E84392" w:rsidRPr="00E84392" w:rsidRDefault="00E84392" w:rsidP="00E84392">
      <w:pPr>
        <w:pStyle w:val="ListParagraph"/>
        <w:numPr>
          <w:ilvl w:val="0"/>
          <w:numId w:val="22"/>
        </w:numPr>
        <w:spacing w:after="0"/>
        <w:ind w:left="336"/>
        <w:jc w:val="both"/>
        <w:rPr>
          <w:rFonts w:ascii="Footlight MT Light" w:hAnsi="Footlight MT Light"/>
          <w:b/>
          <w:bCs/>
          <w:sz w:val="24"/>
          <w:szCs w:val="24"/>
        </w:rPr>
      </w:pPr>
      <w:r w:rsidRPr="00E84392">
        <w:rPr>
          <w:rFonts w:ascii="Footlight MT Light" w:hAnsi="Footlight MT Light"/>
          <w:b/>
          <w:bCs/>
          <w:sz w:val="24"/>
          <w:szCs w:val="24"/>
        </w:rPr>
        <w:t>Implikasi Penelitian</w:t>
      </w:r>
    </w:p>
    <w:p w14:paraId="787239CC" w14:textId="77777777" w:rsidR="00E84392" w:rsidRPr="00E84392" w:rsidRDefault="00E84392" w:rsidP="00E84392">
      <w:pPr>
        <w:pStyle w:val="NormalWeb"/>
        <w:spacing w:before="0" w:beforeAutospacing="0" w:after="0" w:afterAutospacing="0" w:line="276" w:lineRule="auto"/>
        <w:ind w:firstLine="720"/>
        <w:jc w:val="both"/>
        <w:rPr>
          <w:rFonts w:ascii="Footlight MT Light" w:hAnsi="Footlight MT Light"/>
        </w:rPr>
      </w:pPr>
      <w:r w:rsidRPr="00E84392">
        <w:rPr>
          <w:rFonts w:ascii="Footlight MT Light" w:hAnsi="Footlight MT Light"/>
        </w:rPr>
        <w:t>Hasil penelitian ini menunjukkan bahwa strategi pemasaran berbasis komunitas sangat relevan untuk diterapkan di Desa Wisata Sade. Pemasaran tidak hanya bertujuan meningkatkan jumlah kunjungan wisatawan, tetapi juga memperkuat identitas budaya dan keberlanjutan desa. Dengan memberdayakan masyarakat sebagai pelaku utama, Desa Sade mampu menciptakan diferensiasi dibandingkan destinasi lain. Namun, untuk memperkuat strategi tersebut, perlu adanya sinergi antara masyarakat, pemerintah, dan pihak swasta. Dukungan berupa pelatihan digital, penyediaan infrastruktur internet, dan regulasi yang melindungi warisan budaya sangat dibutuhkan agar Desa Sade mampu bersaing dalam era digital. Jika tantangan ini dapat diatasi, Desa Sade berpotensi menjadi model pengembangan desa wisata berbasis komunitas di Indonesia (Arifin &amp; Setiawan, 2024).</w:t>
      </w:r>
    </w:p>
    <w:p w14:paraId="51204DF8" w14:textId="77777777" w:rsidR="00E84392" w:rsidRPr="00E84392" w:rsidRDefault="00E84392" w:rsidP="00E84392">
      <w:pPr>
        <w:pStyle w:val="NormalWeb"/>
        <w:spacing w:before="0" w:beforeAutospacing="0" w:after="0" w:afterAutospacing="0" w:line="276" w:lineRule="auto"/>
        <w:jc w:val="both"/>
        <w:rPr>
          <w:rFonts w:ascii="Footlight MT Light" w:hAnsi="Footlight MT Light"/>
        </w:rPr>
      </w:pPr>
    </w:p>
    <w:p w14:paraId="5F5C125C" w14:textId="3AA4DA0C" w:rsidR="00E84392" w:rsidRPr="00E84392" w:rsidRDefault="00E84392" w:rsidP="00E84392">
      <w:pPr>
        <w:pStyle w:val="NormalWeb"/>
        <w:spacing w:before="0" w:beforeAutospacing="0" w:after="0" w:afterAutospacing="0" w:line="276" w:lineRule="auto"/>
        <w:jc w:val="both"/>
        <w:rPr>
          <w:rFonts w:ascii="Footlight MT Light" w:hAnsi="Footlight MT Light"/>
          <w:b/>
          <w:bCs/>
        </w:rPr>
      </w:pPr>
      <w:r w:rsidRPr="00E84392">
        <w:rPr>
          <w:rFonts w:ascii="Footlight MT Light" w:hAnsi="Footlight MT Light"/>
          <w:b/>
          <w:bCs/>
        </w:rPr>
        <w:t>Pemabahasan</w:t>
      </w:r>
    </w:p>
    <w:p w14:paraId="6A394982" w14:textId="77777777" w:rsidR="00E84392" w:rsidRPr="00E84392" w:rsidRDefault="00E84392" w:rsidP="00E84392">
      <w:pPr>
        <w:pStyle w:val="NormalWeb"/>
        <w:spacing w:before="0" w:beforeAutospacing="0" w:after="0" w:afterAutospacing="0" w:line="276" w:lineRule="auto"/>
        <w:ind w:firstLine="720"/>
        <w:jc w:val="both"/>
        <w:rPr>
          <w:rFonts w:ascii="Footlight MT Light" w:hAnsi="Footlight MT Light"/>
        </w:rPr>
      </w:pPr>
      <w:r w:rsidRPr="00E84392">
        <w:rPr>
          <w:rFonts w:ascii="Footlight MT Light" w:hAnsi="Footlight MT Light"/>
        </w:rPr>
        <w:t xml:space="preserve">Hasil penelitian menunjukkan bahwa strategi pemasaran berbasis komunitas di Desa Wisata Sade sangat berperan dalam menjaga keaslian budaya sekaligus meningkatkan daya tarik wisata. Masyarakat tidak hanya menjadi objek wisata, tetapi juga aktor utama dalam proses pemasaran, mulai dari penyedia layanan hingga promotor budaya. Hal ini sejalan dengan konsep </w:t>
      </w:r>
      <w:r w:rsidRPr="00E84392">
        <w:rPr>
          <w:rStyle w:val="Emphasis"/>
          <w:rFonts w:ascii="Footlight MT Light" w:hAnsi="Footlight MT Light"/>
        </w:rPr>
        <w:t>community-based marketing</w:t>
      </w:r>
      <w:r w:rsidRPr="00E84392">
        <w:rPr>
          <w:rFonts w:ascii="Footlight MT Light" w:hAnsi="Footlight MT Light"/>
        </w:rPr>
        <w:t xml:space="preserve"> yang menekankan keterlibatan komunitas lokal dalam seluruh rantai nilai pemasaran (Sutanto, 2023). Dengan demikian, Desa Sade menjadi contoh nyata bagaimana pemasaran pariwisata dapat dilakukan secara partisipatif dan berbasis kearifan lokal. Pelestarian budaya yang dilakukan masyarakat, seperti pertunjukan presean, menenun, serta ritual adat, tidak hanya memperkuat identitas desa tetapi juga menciptakan diferensiasi yang sulit ditiru destinasi lain. Dalam literatur pemasaran, diferensiasi merupakan kunci daya saing yang berkelanjutan (Kotler et al., 2021). Keaslian budaya yang dijaga masyarakat Desa Sade mampu menarik wisatawan yang saat ini lebih mengutamakan </w:t>
      </w:r>
      <w:r w:rsidRPr="00E84392">
        <w:rPr>
          <w:rStyle w:val="Emphasis"/>
          <w:rFonts w:ascii="Footlight MT Light" w:hAnsi="Footlight MT Light"/>
        </w:rPr>
        <w:t>authentic experience</w:t>
      </w:r>
      <w:r w:rsidRPr="00E84392">
        <w:rPr>
          <w:rFonts w:ascii="Footlight MT Light" w:hAnsi="Footlight MT Light"/>
        </w:rPr>
        <w:t xml:space="preserve"> dibandingkan sekadar hiburan. Hal ini sesuai dengan temuan Sudiarta &amp; Dewi (2022) bahwa perilaku wisatawan era digital lebih berorientasi pada pengalaman otentik, interaksi dengan komunitas, serta storytelling yang kuat.</w:t>
      </w:r>
    </w:p>
    <w:p w14:paraId="32C5E442" w14:textId="77777777" w:rsidR="00E84392" w:rsidRPr="00E84392" w:rsidRDefault="00E84392" w:rsidP="00E84392">
      <w:pPr>
        <w:pStyle w:val="NormalWeb"/>
        <w:spacing w:before="0" w:beforeAutospacing="0" w:after="0" w:afterAutospacing="0" w:line="276" w:lineRule="auto"/>
        <w:ind w:firstLine="720"/>
        <w:jc w:val="both"/>
        <w:rPr>
          <w:rFonts w:ascii="Footlight MT Light" w:hAnsi="Footlight MT Light"/>
        </w:rPr>
      </w:pPr>
      <w:r w:rsidRPr="00E84392">
        <w:rPr>
          <w:rFonts w:ascii="Footlight MT Light" w:hAnsi="Footlight MT Light"/>
        </w:rPr>
        <w:t xml:space="preserve">Hasil penelitian juga menegaskan bahwa keterbatasan literasi digital masih menjadi hambatan utama dalam strategi pemasaran di Desa Sade. Masyarakat telah berperan sebagai “duta budaya” melalui interaksi langsung, tetapi belum sepenuhnya memanfaatkan kekuatan media </w:t>
      </w:r>
      <w:r w:rsidRPr="00E84392">
        <w:rPr>
          <w:rFonts w:ascii="Footlight MT Light" w:hAnsi="Footlight MT Light"/>
        </w:rPr>
        <w:lastRenderedPageBreak/>
        <w:t xml:space="preserve">sosial dan platform digital. Padahal, digitalisasi terbukti meningkatkan visibilitas destinasi, memperluas akses pasar, dan menciptakan interaksi dua arah dengan wisatawan (UNWTO, 2023). Penelitian di Taraju, Tasikmalaya, juga menegaskan bahwa promosi digital melalui media sosial dan situs web mampu meningkatkan jumlah kunjungan meskipun masih ada kendala infrastruktur (ejurnal.ars.ac.id, 2023). Kondisi serupa juga terlihat di Desa Sade, di mana keterbatasan akses internet dan keterampilan digital menghambat efektivitas pemasaran. Selain aspek digital, tantangan lain yang dihadapi adalah isu keberlanjutan. Jika pemasaran hanya berfokus pada komersialisasi tanpa mempertimbangkan nilai budaya, maka dikhawatirkan terjadi degradasi makna dari praktik adat dan ritual tradisional. Wardani &amp; Prasetyo (2020) memperingatkan bahwa pariwisata yang tidak berbasis komunitas rentan menyebabkan </w:t>
      </w:r>
      <w:r w:rsidRPr="00E84392">
        <w:rPr>
          <w:rStyle w:val="Emphasis"/>
          <w:rFonts w:ascii="Footlight MT Light" w:hAnsi="Footlight MT Light"/>
        </w:rPr>
        <w:t>cultural commodification</w:t>
      </w:r>
      <w:r w:rsidRPr="00E84392">
        <w:rPr>
          <w:rFonts w:ascii="Footlight MT Light" w:hAnsi="Footlight MT Light"/>
        </w:rPr>
        <w:t>, yakni menjadikan budaya sekadar komoditas tanpa memperhatikan esensi dan maknanya. Oleh karena itu, partisipasi masyarakat dalam perencanaan dan pengelolaan pemasaran menjadi penting agar setiap aktivitas wisata tetap mencerminkan nilai autentik sekaligus mendukung keberlanjutan sosial-budaya.</w:t>
      </w:r>
    </w:p>
    <w:p w14:paraId="47985493" w14:textId="256A0C15" w:rsidR="00E84392" w:rsidRPr="00E84392" w:rsidRDefault="00E84392" w:rsidP="00E84392">
      <w:pPr>
        <w:pStyle w:val="NormalWeb"/>
        <w:spacing w:before="0" w:beforeAutospacing="0" w:after="0" w:afterAutospacing="0"/>
        <w:ind w:firstLine="720"/>
        <w:jc w:val="both"/>
        <w:rPr>
          <w:rFonts w:ascii="Footlight MT Light" w:eastAsia="Gentium Basic" w:hAnsi="Footlight MT Light" w:cs="Gentium Basic"/>
          <w:b/>
        </w:rPr>
      </w:pPr>
      <w:r w:rsidRPr="00E84392">
        <w:rPr>
          <w:rFonts w:ascii="Footlight MT Light" w:hAnsi="Footlight MT Light"/>
        </w:rPr>
        <w:t xml:space="preserve">Temuan penelitian ini juga memperkuat konsep </w:t>
      </w:r>
      <w:r w:rsidRPr="00E84392">
        <w:rPr>
          <w:rStyle w:val="Emphasis"/>
          <w:rFonts w:ascii="Footlight MT Light" w:hAnsi="Footlight MT Light"/>
        </w:rPr>
        <w:t>community-based tourism</w:t>
      </w:r>
      <w:r w:rsidRPr="00E84392">
        <w:rPr>
          <w:rFonts w:ascii="Footlight MT Light" w:hAnsi="Footlight MT Light"/>
        </w:rPr>
        <w:t xml:space="preserve"> yang menekankan keseimbangan antara aspek ekonomi, sosial, budaya, dan lingkungan (Novitasari &amp; Yuliana, 2021). Pemasaran berbasis komunitas di Desa Sade terbukti memberikan manfaat ekonomi langsung melalui homestay, kerajinan, dan kuliner lokal, sekaligus memperkuat rasa kepemilikan masyarakat terhadap destinasi. Dengan demikian, strategi ini tidak hanya meningkatkan daya tarik wisata, tetapi juga memperkuat kapasitas dan pemberdayaan komunitas. Secara praktis, hasil penelitian ini mengimplikasikan bahwa Desa Wisata Sade perlu memperkuat kombinasi antara kearifan lokal dan strategi pemasaran digital. Pemasaran berbasis komunitas tetap menjadi fondasi, tetapi harus didukung dengan literasi digital, pelatihan pembuatan konten, serta infrastruktur internet yang memadai. Kolaborasi dengan pemerintah daerah, perguruan tinggi, dan media dapat menjadi langkah strategis untuk mengatasi keterbatasan tersebut. Jika strategi ini dijalankan secara konsisten, Desa Sade tidak hanya mampu bersaing dengan destinasi lain di Lombok, tetapi juga berpotensi menjadi model pengembangan desa wisata berbasis komunitas di tingkat nasional.</w:t>
      </w:r>
    </w:p>
    <w:p w14:paraId="7C94FADB" w14:textId="77777777" w:rsidR="00E84392" w:rsidRDefault="00E84392" w:rsidP="00836B24">
      <w:pPr>
        <w:jc w:val="both"/>
        <w:rPr>
          <w:rFonts w:ascii="Footlight MT Light" w:eastAsia="Gentium Basic" w:hAnsi="Footlight MT Light" w:cs="Gentium Basic"/>
          <w:b/>
          <w:sz w:val="24"/>
          <w:szCs w:val="24"/>
        </w:rPr>
      </w:pPr>
    </w:p>
    <w:p w14:paraId="325616CD" w14:textId="5059D852" w:rsidR="00836B24" w:rsidRPr="000D7130" w:rsidRDefault="00836B24" w:rsidP="00836B24">
      <w:pPr>
        <w:jc w:val="both"/>
        <w:rPr>
          <w:rFonts w:ascii="Footlight MT Light" w:eastAsia="Gentium Basic" w:hAnsi="Footlight MT Light" w:cs="Gentium Basic"/>
          <w:b/>
          <w:sz w:val="24"/>
          <w:szCs w:val="24"/>
        </w:rPr>
      </w:pPr>
      <w:r w:rsidRPr="000D7130">
        <w:rPr>
          <w:rFonts w:ascii="Footlight MT Light" w:eastAsia="Gentium Basic" w:hAnsi="Footlight MT Light" w:cs="Gentium Basic"/>
          <w:b/>
          <w:sz w:val="24"/>
          <w:szCs w:val="24"/>
        </w:rPr>
        <w:t xml:space="preserve">KESIMPULAN </w:t>
      </w:r>
    </w:p>
    <w:p w14:paraId="662DC0FF" w14:textId="77777777" w:rsidR="00E84392" w:rsidRDefault="00E84392" w:rsidP="00E84392">
      <w:pPr>
        <w:pStyle w:val="NormalWeb"/>
        <w:spacing w:before="0" w:beforeAutospacing="0" w:after="0" w:afterAutospacing="0" w:line="276" w:lineRule="auto"/>
        <w:ind w:firstLine="720"/>
        <w:jc w:val="both"/>
        <w:rPr>
          <w:rFonts w:ascii="Footlight MT Light" w:hAnsi="Footlight MT Light"/>
        </w:rPr>
      </w:pPr>
      <w:r w:rsidRPr="00E84392">
        <w:rPr>
          <w:rFonts w:ascii="Footlight MT Light" w:hAnsi="Footlight MT Light"/>
        </w:rPr>
        <w:t>Penelitian ini menunjukkan bahwa strategi pemasaran berbasis komunitas (community-based marketing) di</w:t>
      </w:r>
      <w:r w:rsidRPr="00B02917">
        <w:rPr>
          <w:rFonts w:ascii="Footlight MT Light" w:hAnsi="Footlight MT Light"/>
        </w:rPr>
        <w:t xml:space="preserve"> Desa Wisata Sade Lombok memiliki peran penting dalam memperkuat daya tarik destinasi sekaligus menjaga keberlanjutan budaya lokal. Masyarakat Sade tidak hanya berperan sebagai objek wisata, tetapi juga sebagai subjek utama yang mengelola, melestarikan, dan memasarkan produk serta jasa wisata. Keterlibatan mereka tampak pada berbagai aspek, mulai dari pelestarian budaya, penyediaan layanan wisata seperti homestay, pemandu lokal, hingga promosi melalui media digital maupun kerja sama dengan pihak eksternal. Hal ini sejalan dengan konsep pemberdayaan masyarakat yang menekankan pada kepemilikan (sense of ownership) dan keaslian sebagai diferensiasi dalam pariwisata (Yuliana &amp; Handayani, 2021). Namun, penelitian juga menemukan bahwa tantangan yang dihadapi cukup kompleks, meliputi keterbatasan infrastruktur digital, rendahnya kapasitas pemasaran modern, serta kebutuhan akan strategi yang lebih terencana dan berkelanjutan. </w:t>
      </w:r>
    </w:p>
    <w:p w14:paraId="70086602" w14:textId="55CB1B0C" w:rsidR="00E84392" w:rsidRDefault="00E84392" w:rsidP="00E84392">
      <w:pPr>
        <w:pStyle w:val="NormalWeb"/>
        <w:spacing w:before="0" w:beforeAutospacing="0" w:after="0" w:afterAutospacing="0" w:line="276" w:lineRule="auto"/>
        <w:ind w:firstLine="720"/>
        <w:jc w:val="both"/>
        <w:rPr>
          <w:rFonts w:ascii="Footlight MT Light" w:hAnsi="Footlight MT Light"/>
          <w:color w:val="000000"/>
          <w:lang w:val="id-ID"/>
        </w:rPr>
      </w:pPr>
      <w:r w:rsidRPr="00B02917">
        <w:rPr>
          <w:rFonts w:ascii="Footlight MT Light" w:hAnsi="Footlight MT Light"/>
        </w:rPr>
        <w:t xml:space="preserve">Persaingan antar-desa wisata, perubahan perilaku wisatawan yang semakin digital-savvy, serta isu keberlanjutan budaya dan lingkungan menuntut Desa Sade untuk terus berinovasi dalam memadukan tradisi dengan teknologi (Sukmawati, 2022; Ramadhani, 2023). Dengan demikian, keberhasilan strategi pemasaran berbasis komunitas di Desa Wisata Sade sangat ditentukan oleh kolaborasi antara masyarakat, pemerintah, akademisi, dan sektor swasta, yang dapat diwujudkan melalui pelatihan digital marketing, penguatan kapasitas sumber daya manusia, serta regulasi yang </w:t>
      </w:r>
      <w:r w:rsidRPr="00B02917">
        <w:rPr>
          <w:rFonts w:ascii="Footlight MT Light" w:hAnsi="Footlight MT Light"/>
        </w:rPr>
        <w:lastRenderedPageBreak/>
        <w:t>mendukung pariwisata berkelanjutan.</w:t>
      </w:r>
      <w:r>
        <w:rPr>
          <w:rFonts w:ascii="Footlight MT Light" w:hAnsi="Footlight MT Light"/>
        </w:rPr>
        <w:t xml:space="preserve"> </w:t>
      </w:r>
      <w:r w:rsidRPr="00B02917">
        <w:rPr>
          <w:rFonts w:ascii="Footlight MT Light" w:hAnsi="Footlight MT Light"/>
        </w:rPr>
        <w:t>Secara keseluruhan, strategi pemasaran berbasis komunitas di Desa Sade tidak hanya berfungsi untuk menarik wisatawan, tetapi juga menjadi sarana penting dalam menjaga identitas budaya Sasak agar tetap lestari di tengah arus globalisasi. Oleh karena itu, pendekatan ini dapat dijadikan model pengembangan desa wisata lain di Indonesia, khususnya yang mengandalkan kearifan lokal sebagai basis utama daya tariknya.</w:t>
      </w:r>
    </w:p>
    <w:p w14:paraId="2A6FE297" w14:textId="77777777" w:rsidR="00E84392" w:rsidRDefault="00E84392" w:rsidP="00836B24">
      <w:pPr>
        <w:tabs>
          <w:tab w:val="left" w:pos="709"/>
        </w:tabs>
        <w:jc w:val="both"/>
        <w:rPr>
          <w:rFonts w:ascii="Footlight MT Light" w:hAnsi="Footlight MT Light"/>
          <w:color w:val="000000"/>
          <w:sz w:val="24"/>
          <w:szCs w:val="24"/>
          <w:lang w:val="id-ID"/>
        </w:rPr>
      </w:pPr>
    </w:p>
    <w:p w14:paraId="149F3B74" w14:textId="77777777" w:rsidR="00836B24" w:rsidRPr="000D7130" w:rsidRDefault="00836B24" w:rsidP="00836B24">
      <w:pPr>
        <w:jc w:val="both"/>
        <w:rPr>
          <w:rFonts w:ascii="Footlight MT Light" w:eastAsia="Gentium Basic" w:hAnsi="Footlight MT Light" w:cs="Gentium Basic"/>
          <w:b/>
          <w:sz w:val="24"/>
          <w:szCs w:val="24"/>
        </w:rPr>
      </w:pPr>
      <w:r w:rsidRPr="000D7130">
        <w:rPr>
          <w:rFonts w:ascii="Footlight MT Light" w:eastAsia="Gentium Basic" w:hAnsi="Footlight MT Light" w:cs="Gentium Basic"/>
          <w:b/>
          <w:sz w:val="24"/>
          <w:szCs w:val="24"/>
        </w:rPr>
        <w:t xml:space="preserve">DAFTAR PUSTAKA </w:t>
      </w:r>
    </w:p>
    <w:p w14:paraId="06968A3D"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Creswell, J. W., &amp; Poth, C. N. (2021). </w:t>
      </w:r>
      <w:r w:rsidRPr="00E84392">
        <w:rPr>
          <w:rFonts w:ascii="Footlight MT Light" w:hAnsi="Footlight MT Light"/>
          <w:i/>
          <w:iCs/>
          <w:color w:val="000000" w:themeColor="text1"/>
        </w:rPr>
        <w:t>Qualitative Inquiry and Research Design: Choosing Among Five Approaches</w:t>
      </w:r>
      <w:r w:rsidRPr="00E84392">
        <w:rPr>
          <w:rFonts w:ascii="Footlight MT Light" w:hAnsi="Footlight MT Light"/>
          <w:color w:val="000000" w:themeColor="text1"/>
        </w:rPr>
        <w:t>. SAGE Publications.</w:t>
      </w:r>
    </w:p>
    <w:p w14:paraId="584206E6"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Moleong, L. J. (2021). </w:t>
      </w:r>
      <w:r w:rsidRPr="00E84392">
        <w:rPr>
          <w:rFonts w:ascii="Footlight MT Light" w:hAnsi="Footlight MT Light"/>
          <w:i/>
          <w:iCs/>
          <w:color w:val="000000" w:themeColor="text1"/>
        </w:rPr>
        <w:t>Metodologi Penelitian Kualitatif</w:t>
      </w:r>
      <w:r w:rsidRPr="00E84392">
        <w:rPr>
          <w:rFonts w:ascii="Footlight MT Light" w:hAnsi="Footlight MT Light"/>
          <w:color w:val="000000" w:themeColor="text1"/>
        </w:rPr>
        <w:t>. PT Remaja Rosdakarya.</w:t>
      </w:r>
    </w:p>
    <w:p w14:paraId="780F7CFE"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Miles, M. B., Huberman, A. M., &amp; Saldaña, J. (2019). </w:t>
      </w:r>
      <w:r w:rsidRPr="00E84392">
        <w:rPr>
          <w:rFonts w:ascii="Footlight MT Light" w:hAnsi="Footlight MT Light"/>
          <w:i/>
          <w:iCs/>
          <w:color w:val="000000" w:themeColor="text1"/>
        </w:rPr>
        <w:t>Qualitative Data Analysis: A Methods Sourcebook</w:t>
      </w:r>
      <w:r w:rsidRPr="00E84392">
        <w:rPr>
          <w:rFonts w:ascii="Footlight MT Light" w:hAnsi="Footlight MT Light"/>
          <w:color w:val="000000" w:themeColor="text1"/>
        </w:rPr>
        <w:t>. SAGE Publications.</w:t>
      </w:r>
    </w:p>
    <w:p w14:paraId="053B1B81"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Putra, A., &amp; Hidayat, M. (2022). Strategi Pengembangan Desa Wisata Berbasis Budaya di Lombok Tengah. </w:t>
      </w:r>
      <w:r w:rsidRPr="00E84392">
        <w:rPr>
          <w:rFonts w:ascii="Footlight MT Light" w:hAnsi="Footlight MT Light"/>
          <w:i/>
          <w:iCs/>
          <w:color w:val="000000" w:themeColor="text1"/>
        </w:rPr>
        <w:t>Jurnal Pariwisata dan Budaya, 4</w:t>
      </w:r>
      <w:r w:rsidRPr="00E84392">
        <w:rPr>
          <w:rFonts w:ascii="Footlight MT Light" w:hAnsi="Footlight MT Light"/>
          <w:color w:val="000000" w:themeColor="text1"/>
        </w:rPr>
        <w:t>(2), 55–66.</w:t>
      </w:r>
    </w:p>
    <w:p w14:paraId="479AE7D3"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Sugiyono. (2020). </w:t>
      </w:r>
      <w:r w:rsidRPr="00E84392">
        <w:rPr>
          <w:rFonts w:ascii="Footlight MT Light" w:hAnsi="Footlight MT Light"/>
          <w:i/>
          <w:iCs/>
          <w:color w:val="000000" w:themeColor="text1"/>
        </w:rPr>
        <w:t>Metode Penelitian Kualitatif, Kuantitatif, dan R&amp;D</w:t>
      </w:r>
      <w:r w:rsidRPr="00E84392">
        <w:rPr>
          <w:rFonts w:ascii="Footlight MT Light" w:hAnsi="Footlight MT Light"/>
          <w:color w:val="000000" w:themeColor="text1"/>
        </w:rPr>
        <w:t>. Alfabeta.</w:t>
      </w:r>
    </w:p>
    <w:p w14:paraId="1CBC59D4"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Arifin, M., &amp; Setiawan, A. (2024). Community-Based Tourism sebagai Strategi Pembangunan Desa Wisata. </w:t>
      </w:r>
      <w:r w:rsidRPr="00E84392">
        <w:rPr>
          <w:rStyle w:val="Emphasis"/>
          <w:rFonts w:ascii="Footlight MT Light" w:hAnsi="Footlight MT Light"/>
          <w:color w:val="000000" w:themeColor="text1"/>
        </w:rPr>
        <w:t>Jurnal Pariwisata Nusantara, 5</w:t>
      </w:r>
      <w:r w:rsidRPr="00E84392">
        <w:rPr>
          <w:rFonts w:ascii="Footlight MT Light" w:hAnsi="Footlight MT Light"/>
          <w:color w:val="000000" w:themeColor="text1"/>
        </w:rPr>
        <w:t>(1), 77–89.</w:t>
      </w:r>
    </w:p>
    <w:p w14:paraId="00CEDB22"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Astuti, D., &amp; Nugroho, B. (2020). Peran Media Sosial dalam Promosi Desa Wisata. </w:t>
      </w:r>
      <w:r w:rsidRPr="00E84392">
        <w:rPr>
          <w:rStyle w:val="Emphasis"/>
          <w:rFonts w:ascii="Footlight MT Light" w:hAnsi="Footlight MT Light"/>
          <w:color w:val="000000" w:themeColor="text1"/>
        </w:rPr>
        <w:t>Jurnal Komunikasi Digital, 2</w:t>
      </w:r>
      <w:r w:rsidRPr="00E84392">
        <w:rPr>
          <w:rFonts w:ascii="Footlight MT Light" w:hAnsi="Footlight MT Light"/>
          <w:color w:val="000000" w:themeColor="text1"/>
        </w:rPr>
        <w:t>(1), 15–26.</w:t>
      </w:r>
    </w:p>
    <w:p w14:paraId="1AB954E9"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Hidayati, S. (2023). Pelatihan Digital Marketing untuk Desa Wisata di Lombok Tengah. </w:t>
      </w:r>
      <w:r w:rsidRPr="00E84392">
        <w:rPr>
          <w:rStyle w:val="Emphasis"/>
          <w:rFonts w:ascii="Footlight MT Light" w:hAnsi="Footlight MT Light"/>
          <w:color w:val="000000" w:themeColor="text1"/>
        </w:rPr>
        <w:t>Jurnal Abdimas Pariwisata, 3</w:t>
      </w:r>
      <w:r w:rsidRPr="00E84392">
        <w:rPr>
          <w:rFonts w:ascii="Footlight MT Light" w:hAnsi="Footlight MT Light"/>
          <w:color w:val="000000" w:themeColor="text1"/>
        </w:rPr>
        <w:t>(2), 55–63.</w:t>
      </w:r>
    </w:p>
    <w:p w14:paraId="52FB32E8"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Kusuma, R., &amp; Astuti, P. (2021). Kearifan Lokal sebagai Diferensiasi Desa Wisata. </w:t>
      </w:r>
      <w:r w:rsidRPr="00E84392">
        <w:rPr>
          <w:rStyle w:val="Emphasis"/>
          <w:rFonts w:ascii="Footlight MT Light" w:hAnsi="Footlight MT Light"/>
          <w:color w:val="000000" w:themeColor="text1"/>
        </w:rPr>
        <w:t>Jurnal Budaya dan Pariwisata, 4</w:t>
      </w:r>
      <w:r w:rsidRPr="00E84392">
        <w:rPr>
          <w:rFonts w:ascii="Footlight MT Light" w:hAnsi="Footlight MT Light"/>
          <w:color w:val="000000" w:themeColor="text1"/>
        </w:rPr>
        <w:t>(1), 44–56.</w:t>
      </w:r>
    </w:p>
    <w:p w14:paraId="09DCBF78"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Lestari, N. (2021). Branding Digital Desa Wisata Ende. </w:t>
      </w:r>
      <w:r w:rsidRPr="00E84392">
        <w:rPr>
          <w:rStyle w:val="Emphasis"/>
          <w:rFonts w:ascii="Footlight MT Light" w:hAnsi="Footlight MT Light"/>
          <w:color w:val="000000" w:themeColor="text1"/>
        </w:rPr>
        <w:t>Jurnal Media Wisata, 9</w:t>
      </w:r>
      <w:r w:rsidRPr="00E84392">
        <w:rPr>
          <w:rFonts w:ascii="Footlight MT Light" w:hAnsi="Footlight MT Light"/>
          <w:color w:val="000000" w:themeColor="text1"/>
        </w:rPr>
        <w:t>(2), 120–130.</w:t>
      </w:r>
    </w:p>
    <w:p w14:paraId="74AA1DD5"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Novitasari, D., &amp; Yuliana, S. (2021). Konsep Community-Based Tourism dalam Keberlanjutan Pariwisata. </w:t>
      </w:r>
      <w:r w:rsidRPr="00E84392">
        <w:rPr>
          <w:rStyle w:val="Emphasis"/>
          <w:rFonts w:ascii="Footlight MT Light" w:hAnsi="Footlight MT Light"/>
          <w:color w:val="000000" w:themeColor="text1"/>
        </w:rPr>
        <w:t>Jurnal Ilmu Sosial dan Humaniora, 12</w:t>
      </w:r>
      <w:r w:rsidRPr="00E84392">
        <w:rPr>
          <w:rFonts w:ascii="Footlight MT Light" w:hAnsi="Footlight MT Light"/>
          <w:color w:val="000000" w:themeColor="text1"/>
        </w:rPr>
        <w:t>(3), 211–220.</w:t>
      </w:r>
    </w:p>
    <w:p w14:paraId="3D4759E8"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Pradnyawati, I., &amp; Yulianti, K. (2021). Tantangan Digitalisasi Pariwisata di Desa Wisata Bali. </w:t>
      </w:r>
      <w:r w:rsidRPr="00E84392">
        <w:rPr>
          <w:rStyle w:val="Emphasis"/>
          <w:rFonts w:ascii="Footlight MT Light" w:hAnsi="Footlight MT Light"/>
          <w:color w:val="000000" w:themeColor="text1"/>
        </w:rPr>
        <w:t>Jurnal Manajemen Pariwisata, 8</w:t>
      </w:r>
      <w:r w:rsidRPr="00E84392">
        <w:rPr>
          <w:rFonts w:ascii="Footlight MT Light" w:hAnsi="Footlight MT Light"/>
          <w:color w:val="000000" w:themeColor="text1"/>
        </w:rPr>
        <w:t>(1), 32–45.</w:t>
      </w:r>
    </w:p>
    <w:p w14:paraId="7550F7EA"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Putra, A., &amp; Hidayat, M. (2022). Strategi Pengembangan Desa Wisata Berbasis Budaya di Lombok Tengah. </w:t>
      </w:r>
      <w:r w:rsidRPr="00E84392">
        <w:rPr>
          <w:rStyle w:val="Emphasis"/>
          <w:rFonts w:ascii="Footlight MT Light" w:hAnsi="Footlight MT Light"/>
          <w:color w:val="000000" w:themeColor="text1"/>
        </w:rPr>
        <w:t>Jurnal Pariwisata dan Budaya, 4</w:t>
      </w:r>
      <w:r w:rsidRPr="00E84392">
        <w:rPr>
          <w:rFonts w:ascii="Footlight MT Light" w:hAnsi="Footlight MT Light"/>
          <w:color w:val="000000" w:themeColor="text1"/>
        </w:rPr>
        <w:t>(2), 55–66.</w:t>
      </w:r>
    </w:p>
    <w:p w14:paraId="3E43B5A8"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Rahmawati, L. (2023). Peran Masyarakat dalam Pengelolaan Desa Wisata. </w:t>
      </w:r>
      <w:r w:rsidRPr="00E84392">
        <w:rPr>
          <w:rStyle w:val="Emphasis"/>
          <w:rFonts w:ascii="Footlight MT Light" w:hAnsi="Footlight MT Light"/>
          <w:color w:val="000000" w:themeColor="text1"/>
        </w:rPr>
        <w:t>Jurnal Ekonomi dan Bisnis Lokal, 6</w:t>
      </w:r>
      <w:r w:rsidRPr="00E84392">
        <w:rPr>
          <w:rFonts w:ascii="Footlight MT Light" w:hAnsi="Footlight MT Light"/>
          <w:color w:val="000000" w:themeColor="text1"/>
        </w:rPr>
        <w:t>(1), 99–110.</w:t>
      </w:r>
    </w:p>
    <w:p w14:paraId="469CCC5E"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Suprihatin, N., &amp; Hailuddin, M. (2022). Potensi Pengembangan Desa Wisata Sade. </w:t>
      </w:r>
      <w:r w:rsidRPr="00E84392">
        <w:rPr>
          <w:rStyle w:val="Emphasis"/>
          <w:rFonts w:ascii="Footlight MT Light" w:hAnsi="Footlight MT Light"/>
          <w:color w:val="000000" w:themeColor="text1"/>
        </w:rPr>
        <w:t>Jurnal UBAYA, 5</w:t>
      </w:r>
      <w:r w:rsidRPr="00E84392">
        <w:rPr>
          <w:rFonts w:ascii="Footlight MT Light" w:hAnsi="Footlight MT Light"/>
          <w:color w:val="000000" w:themeColor="text1"/>
        </w:rPr>
        <w:t>(3), 145–158.</w:t>
      </w:r>
    </w:p>
    <w:p w14:paraId="0858FFED"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Sutanto, Y. (2023). Community-Based Marketing dalam Pengembangan Desa Wisata. </w:t>
      </w:r>
      <w:r w:rsidRPr="00E84392">
        <w:rPr>
          <w:rStyle w:val="Emphasis"/>
          <w:rFonts w:ascii="Footlight MT Light" w:hAnsi="Footlight MT Light"/>
          <w:color w:val="000000" w:themeColor="text1"/>
        </w:rPr>
        <w:t>Jurnal Pemasaran Nusantara, 11</w:t>
      </w:r>
      <w:r w:rsidRPr="00E84392">
        <w:rPr>
          <w:rFonts w:ascii="Footlight MT Light" w:hAnsi="Footlight MT Light"/>
          <w:color w:val="000000" w:themeColor="text1"/>
        </w:rPr>
        <w:t>(2), 33–42.</w:t>
      </w:r>
    </w:p>
    <w:p w14:paraId="595EEF67"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Sudiarta, I., &amp; Dewi, P. (2022). Perubahan Perilaku Wisatawan di Era Digital. </w:t>
      </w:r>
      <w:r w:rsidRPr="00E84392">
        <w:rPr>
          <w:rStyle w:val="Emphasis"/>
          <w:rFonts w:ascii="Footlight MT Light" w:hAnsi="Footlight MT Light"/>
          <w:color w:val="000000" w:themeColor="text1"/>
        </w:rPr>
        <w:t>Jurnal Pariwisata Kontemporer, 3</w:t>
      </w:r>
      <w:r w:rsidRPr="00E84392">
        <w:rPr>
          <w:rFonts w:ascii="Footlight MT Light" w:hAnsi="Footlight MT Light"/>
          <w:color w:val="000000" w:themeColor="text1"/>
        </w:rPr>
        <w:t>(1), 21–29.</w:t>
      </w:r>
    </w:p>
    <w:p w14:paraId="2A132720"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UNWTO. (2023). </w:t>
      </w:r>
      <w:r w:rsidRPr="00E84392">
        <w:rPr>
          <w:rStyle w:val="Emphasis"/>
          <w:rFonts w:ascii="Footlight MT Light" w:hAnsi="Footlight MT Light"/>
          <w:color w:val="000000" w:themeColor="text1"/>
        </w:rPr>
        <w:t>Tourism and Digital Transformation</w:t>
      </w:r>
      <w:r w:rsidRPr="00E84392">
        <w:rPr>
          <w:rFonts w:ascii="Footlight MT Light" w:hAnsi="Footlight MT Light"/>
          <w:color w:val="000000" w:themeColor="text1"/>
        </w:rPr>
        <w:t>. United Nations World Tourism Organization.</w:t>
      </w:r>
    </w:p>
    <w:p w14:paraId="3BD0AEE6" w14:textId="77777777" w:rsidR="00E84392" w:rsidRPr="00E84392" w:rsidRDefault="00E84392" w:rsidP="005B0D5D">
      <w:pPr>
        <w:pStyle w:val="NormalWeb"/>
        <w:spacing w:before="0" w:beforeAutospacing="0" w:after="0" w:afterAutospacing="0" w:line="276" w:lineRule="auto"/>
        <w:ind w:left="720" w:hanging="720"/>
        <w:jc w:val="both"/>
        <w:rPr>
          <w:rFonts w:ascii="Footlight MT Light" w:hAnsi="Footlight MT Light"/>
          <w:color w:val="000000" w:themeColor="text1"/>
        </w:rPr>
      </w:pPr>
      <w:r w:rsidRPr="00E84392">
        <w:rPr>
          <w:rFonts w:ascii="Footlight MT Light" w:hAnsi="Footlight MT Light"/>
          <w:color w:val="000000" w:themeColor="text1"/>
        </w:rPr>
        <w:t xml:space="preserve">Wardani, F., &amp; Prasetyo, A. (2020). Komersialisasi Budaya dalam Pariwisata: Sebuah Tantangan. </w:t>
      </w:r>
      <w:r w:rsidRPr="00E84392">
        <w:rPr>
          <w:rStyle w:val="Emphasis"/>
          <w:rFonts w:ascii="Footlight MT Light" w:hAnsi="Footlight MT Light"/>
          <w:color w:val="000000" w:themeColor="text1"/>
        </w:rPr>
        <w:t>Jurnal Antropologi Indonesia, 41</w:t>
      </w:r>
      <w:r w:rsidRPr="00E84392">
        <w:rPr>
          <w:rFonts w:ascii="Footlight MT Light" w:hAnsi="Footlight MT Light"/>
          <w:color w:val="000000" w:themeColor="text1"/>
        </w:rPr>
        <w:t>(2), 187–199.</w:t>
      </w:r>
    </w:p>
    <w:p w14:paraId="77F0ED6B" w14:textId="4FD270D7" w:rsidR="008A3E9F" w:rsidRPr="00E84392" w:rsidRDefault="00E84392" w:rsidP="005B0D5D">
      <w:pPr>
        <w:pStyle w:val="Bibliography"/>
        <w:spacing w:line="276" w:lineRule="auto"/>
        <w:ind w:left="720" w:hanging="720"/>
        <w:jc w:val="both"/>
        <w:rPr>
          <w:color w:val="000000" w:themeColor="text1"/>
          <w:sz w:val="24"/>
          <w:szCs w:val="24"/>
        </w:rPr>
      </w:pPr>
      <w:r w:rsidRPr="00E84392">
        <w:rPr>
          <w:rFonts w:ascii="Footlight MT Light" w:hAnsi="Footlight MT Light"/>
          <w:color w:val="000000" w:themeColor="text1"/>
          <w:sz w:val="24"/>
          <w:szCs w:val="24"/>
        </w:rPr>
        <w:t xml:space="preserve">Wulandari, T. (2022). Pendampingan UMKM Tenun Desa Sade melalui Marketplace Digital. </w:t>
      </w:r>
      <w:r w:rsidRPr="00E84392">
        <w:rPr>
          <w:rStyle w:val="Emphasis"/>
          <w:rFonts w:ascii="Footlight MT Light" w:hAnsi="Footlight MT Light"/>
          <w:color w:val="000000" w:themeColor="text1"/>
          <w:sz w:val="24"/>
          <w:szCs w:val="24"/>
        </w:rPr>
        <w:t>Jurnal Abdimas Ekonomi Kreatif, 4</w:t>
      </w:r>
      <w:r w:rsidRPr="00E84392">
        <w:rPr>
          <w:rFonts w:ascii="Footlight MT Light" w:hAnsi="Footlight MT Light"/>
          <w:color w:val="000000" w:themeColor="text1"/>
          <w:sz w:val="24"/>
          <w:szCs w:val="24"/>
        </w:rPr>
        <w:t>(2), 75–84.</w:t>
      </w:r>
    </w:p>
    <w:sectPr w:rsidR="008A3E9F" w:rsidRPr="00E84392" w:rsidSect="00E84392">
      <w:headerReference w:type="default" r:id="rId15"/>
      <w:footerReference w:type="default" r:id="rId16"/>
      <w:footerReference w:type="first" r:id="rId17"/>
      <w:type w:val="continuous"/>
      <w:pgSz w:w="11906" w:h="16838"/>
      <w:pgMar w:top="1418" w:right="1134" w:bottom="993" w:left="1134" w:header="0" w:footer="72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48349" w14:textId="77777777" w:rsidR="00BD15A3" w:rsidRDefault="00BD15A3">
      <w:r>
        <w:separator/>
      </w:r>
    </w:p>
  </w:endnote>
  <w:endnote w:type="continuationSeparator" w:id="0">
    <w:p w14:paraId="7854536F" w14:textId="77777777" w:rsidR="00BD15A3" w:rsidRDefault="00BD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DC512E-28E7-4E01-9B2D-0384FEC79AE2}"/>
    <w:embedBold r:id="rId2" w:fontKey="{7C1EB002-2B20-41C1-A0E4-A4B5D6885602}"/>
  </w:font>
  <w:font w:name="Georgia">
    <w:panose1 w:val="02040502050405020303"/>
    <w:charset w:val="00"/>
    <w:family w:val="roman"/>
    <w:pitch w:val="variable"/>
    <w:sig w:usb0="00000287" w:usb1="00000000" w:usb2="00000000" w:usb3="00000000" w:csb0="0000009F" w:csb1="00000000"/>
    <w:embedRegular r:id="rId3" w:fontKey="{CA1FE414-BAD0-4C99-BA85-E304C309AA6E}"/>
    <w:embedItalic r:id="rId4" w:fontKey="{FEB18883-26E9-49FB-BE25-A2BBEA92C347}"/>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embedRegular r:id="rId5" w:fontKey="{BFB0DE5A-CB97-4388-87A5-D1627305B17D}"/>
    <w:embedBold r:id="rId6" w:fontKey="{328A542D-28E0-4CC3-840E-B39E723A8FB7}"/>
    <w:embedItalic r:id="rId7" w:fontKey="{387EC187-5395-474B-9A8B-C7BF7D04B6DB}"/>
    <w:embedBoldItalic r:id="rId8" w:fontKey="{3301396F-B7EA-443B-8028-63E42CC2CDB0}"/>
  </w:font>
  <w:font w:name="Gentium Basic">
    <w:altName w:val="Times New Roman"/>
    <w:charset w:val="00"/>
    <w:family w:val="auto"/>
    <w:pitch w:val="default"/>
  </w:font>
  <w:font w:name="Lustria">
    <w:altName w:val="Times New Roman"/>
    <w:charset w:val="00"/>
    <w:family w:val="auto"/>
    <w:pitch w:val="variable"/>
    <w:sig w:usb0="00000003" w:usb1="5000004A" w:usb2="00000000" w:usb3="00000000" w:csb0="00000001" w:csb1="00000000"/>
    <w:embedRegular r:id="rId9" w:fontKey="{AB5C6A5A-D8E8-49F6-B11B-36E11B1FDB91}"/>
    <w:embedBold r:id="rId10" w:fontKey="{5C6629A2-382B-450E-A4EF-48B55D90E8FD}"/>
  </w:font>
  <w:font w:name="Calibri Light">
    <w:panose1 w:val="020F0302020204030204"/>
    <w:charset w:val="00"/>
    <w:family w:val="swiss"/>
    <w:pitch w:val="variable"/>
    <w:sig w:usb0="E4002EFF" w:usb1="C200247B" w:usb2="00000009" w:usb3="00000000" w:csb0="000001FF" w:csb1="00000000"/>
    <w:embedRegular r:id="rId11" w:fontKey="{C148852F-9337-49E0-B21C-0EFCE5612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751" w:type="dxa"/>
      <w:jc w:val="center"/>
      <w:tblBorders>
        <w:bottom w:val="single" w:sz="12" w:space="0" w:color="000000"/>
      </w:tblBorders>
      <w:tblLayout w:type="fixed"/>
      <w:tblLook w:val="0000" w:firstRow="0" w:lastRow="0" w:firstColumn="0" w:lastColumn="0" w:noHBand="0" w:noVBand="0"/>
    </w:tblPr>
    <w:tblGrid>
      <w:gridCol w:w="4846"/>
      <w:gridCol w:w="4905"/>
    </w:tblGrid>
    <w:tr w:rsidR="00CE1408" w:rsidRPr="00ED44E2" w14:paraId="5AF69497" w14:textId="77777777" w:rsidTr="00FB48B6">
      <w:trPr>
        <w:trHeight w:val="320"/>
        <w:jc w:val="center"/>
      </w:trPr>
      <w:tc>
        <w:tcPr>
          <w:tcW w:w="4846" w:type="dxa"/>
        </w:tcPr>
        <w:p w14:paraId="5FFFB1A9" w14:textId="3CFB9273" w:rsidR="00CE1408" w:rsidRPr="00ED44E2" w:rsidRDefault="00E84392" w:rsidP="00CE1408">
          <w:pPr>
            <w:tabs>
              <w:tab w:val="center" w:pos="4680"/>
              <w:tab w:val="right" w:pos="9360"/>
            </w:tabs>
            <w:rPr>
              <w:rFonts w:ascii="Footlight MT Light" w:eastAsia="Gentium Basic" w:hAnsi="Footlight MT Light" w:cs="Gentium Basic"/>
              <w:color w:val="000000"/>
              <w:sz w:val="18"/>
              <w:szCs w:val="18"/>
            </w:rPr>
          </w:pPr>
          <w:r>
            <w:rPr>
              <w:rFonts w:ascii="Footlight MT Light" w:eastAsia="Gentium Basic" w:hAnsi="Footlight MT Light" w:cs="Gentium Basic"/>
              <w:color w:val="000000"/>
              <w:sz w:val="18"/>
              <w:szCs w:val="18"/>
            </w:rPr>
            <w:t xml:space="preserve">Salim </w:t>
          </w:r>
        </w:p>
      </w:tc>
      <w:tc>
        <w:tcPr>
          <w:tcW w:w="4905" w:type="dxa"/>
        </w:tcPr>
        <w:p w14:paraId="6F4F943B" w14:textId="2DD1E5C5" w:rsidR="00CE1408" w:rsidRPr="00ED44E2" w:rsidRDefault="00CE1408" w:rsidP="00CE1408">
          <w:pPr>
            <w:tabs>
              <w:tab w:val="center" w:pos="4680"/>
              <w:tab w:val="right" w:pos="9360"/>
            </w:tabs>
            <w:jc w:val="right"/>
            <w:rPr>
              <w:rFonts w:ascii="Footlight MT Light" w:eastAsia="Arial" w:hAnsi="Footlight MT Light" w:cs="Arial"/>
              <w:i/>
              <w:color w:val="000000"/>
            </w:rPr>
          </w:pPr>
          <w:r w:rsidRPr="00ED44E2">
            <w:rPr>
              <w:rFonts w:ascii="Footlight MT Light" w:eastAsia="Gentium Basic" w:hAnsi="Footlight MT Light" w:cs="Gentium Basic"/>
              <w:color w:val="231F20"/>
            </w:rPr>
            <w:t>10.55681/armada.v1i1.</w:t>
          </w:r>
          <w:r w:rsidR="005B0D5D">
            <w:rPr>
              <w:rFonts w:ascii="Footlight MT Light" w:eastAsia="Gentium Basic" w:hAnsi="Footlight MT Light" w:cs="Gentium Basic"/>
              <w:color w:val="231F20"/>
            </w:rPr>
            <w:t>1683</w:t>
          </w:r>
        </w:p>
      </w:tc>
    </w:tr>
  </w:tbl>
  <w:p w14:paraId="1374BA0D" w14:textId="77777777" w:rsidR="00CE1408" w:rsidRDefault="00CE1408">
    <w:pPr>
      <w:pStyle w:val="Footer"/>
    </w:pPr>
  </w:p>
  <w:p w14:paraId="2A2BAABE" w14:textId="77777777" w:rsidR="00A20722" w:rsidRDefault="00A20722">
    <w:pPr>
      <w:pStyle w:val="Footer"/>
    </w:pPr>
  </w:p>
  <w:p w14:paraId="4891E631" w14:textId="77777777" w:rsidR="00A20722" w:rsidRDefault="00A20722">
    <w:pPr>
      <w:pStyle w:val="Footer"/>
    </w:pPr>
  </w:p>
  <w:p w14:paraId="3CE31F54" w14:textId="77777777" w:rsidR="00A20722" w:rsidRDefault="00A20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773C" w14:textId="77777777" w:rsidR="00836B24" w:rsidRDefault="00836B24" w:rsidP="008B4F40">
    <w:pPr>
      <w:pBdr>
        <w:top w:val="nil"/>
        <w:left w:val="nil"/>
        <w:bottom w:val="nil"/>
        <w:right w:val="nil"/>
        <w:between w:val="nil"/>
      </w:pBdr>
      <w:tabs>
        <w:tab w:val="center" w:pos="4680"/>
        <w:tab w:val="right" w:pos="9360"/>
      </w:tabs>
      <w:rPr>
        <w:color w:val="000000"/>
      </w:rPr>
    </w:pPr>
  </w:p>
  <w:tbl>
    <w:tblPr>
      <w:tblW w:w="9626" w:type="dxa"/>
      <w:tblBorders>
        <w:top w:val="single" w:sz="8" w:space="0" w:color="000000"/>
      </w:tblBorders>
      <w:tblLayout w:type="fixed"/>
      <w:tblLook w:val="0000" w:firstRow="0" w:lastRow="0" w:firstColumn="0" w:lastColumn="0" w:noHBand="0" w:noVBand="0"/>
    </w:tblPr>
    <w:tblGrid>
      <w:gridCol w:w="8879"/>
      <w:gridCol w:w="261"/>
      <w:gridCol w:w="486"/>
    </w:tblGrid>
    <w:tr w:rsidR="00836B24" w14:paraId="6FB56FD7" w14:textId="77777777" w:rsidTr="006F2A75">
      <w:trPr>
        <w:trHeight w:val="251"/>
      </w:trPr>
      <w:tc>
        <w:tcPr>
          <w:tcW w:w="8879" w:type="dxa"/>
          <w:vAlign w:val="center"/>
        </w:tcPr>
        <w:p w14:paraId="3B21E8E7" w14:textId="77777777" w:rsidR="00836B24" w:rsidRDefault="00836B24" w:rsidP="008B4F40">
          <w:pPr>
            <w:tabs>
              <w:tab w:val="center" w:pos="4680"/>
              <w:tab w:val="right" w:pos="9360"/>
            </w:tabs>
            <w:ind w:right="-188"/>
            <w:rPr>
              <w:rFonts w:ascii="Lustria" w:eastAsia="Lustria" w:hAnsi="Lustria" w:cs="Lustria"/>
              <w:color w:val="000000"/>
              <w:sz w:val="18"/>
              <w:szCs w:val="18"/>
            </w:rPr>
          </w:pPr>
        </w:p>
      </w:tc>
      <w:tc>
        <w:tcPr>
          <w:tcW w:w="261" w:type="dxa"/>
          <w:vAlign w:val="center"/>
        </w:tcPr>
        <w:p w14:paraId="1EF0B0EC" w14:textId="77777777" w:rsidR="00836B24" w:rsidRDefault="00836B24" w:rsidP="008B4F40">
          <w:pPr>
            <w:tabs>
              <w:tab w:val="center" w:pos="4680"/>
              <w:tab w:val="right" w:pos="9360"/>
            </w:tabs>
            <w:ind w:right="-188"/>
            <w:rPr>
              <w:rFonts w:ascii="Lustria" w:eastAsia="Lustria" w:hAnsi="Lustria" w:cs="Lustria"/>
              <w:color w:val="000000"/>
              <w:sz w:val="18"/>
              <w:szCs w:val="18"/>
            </w:rPr>
          </w:pPr>
          <w:r>
            <w:rPr>
              <w:rFonts w:ascii="Lustria" w:eastAsia="Lustria" w:hAnsi="Lustria" w:cs="Lustria"/>
              <w:color w:val="000000"/>
              <w:sz w:val="18"/>
              <w:szCs w:val="18"/>
            </w:rPr>
            <w:t>|</w:t>
          </w:r>
        </w:p>
      </w:tc>
      <w:tc>
        <w:tcPr>
          <w:tcW w:w="486" w:type="dxa"/>
          <w:vAlign w:val="center"/>
        </w:tcPr>
        <w:p w14:paraId="12C020C2" w14:textId="77777777" w:rsidR="00836B24" w:rsidRDefault="00836B24" w:rsidP="008B4F40">
          <w:pPr>
            <w:tabs>
              <w:tab w:val="center" w:pos="4680"/>
              <w:tab w:val="right" w:pos="9360"/>
            </w:tabs>
            <w:ind w:left="-142" w:right="-188"/>
            <w:rPr>
              <w:rFonts w:ascii="Lustria" w:eastAsia="Lustria" w:hAnsi="Lustria" w:cs="Lustria"/>
              <w:color w:val="000000"/>
              <w:sz w:val="18"/>
              <w:szCs w:val="18"/>
            </w:rPr>
          </w:pPr>
          <w:r>
            <w:rPr>
              <w:rFonts w:ascii="Lustria" w:eastAsia="Lustria" w:hAnsi="Lustria" w:cs="Lustria"/>
              <w:b/>
              <w:color w:val="000000"/>
              <w:sz w:val="18"/>
              <w:szCs w:val="18"/>
            </w:rPr>
            <w:t xml:space="preserve">  </w:t>
          </w:r>
          <w:r>
            <w:rPr>
              <w:rFonts w:ascii="Lustria" w:eastAsia="Lustria" w:hAnsi="Lustria" w:cs="Lustria"/>
              <w:b/>
              <w:color w:val="000000"/>
              <w:sz w:val="18"/>
              <w:szCs w:val="18"/>
            </w:rPr>
            <w:fldChar w:fldCharType="begin"/>
          </w:r>
          <w:r>
            <w:rPr>
              <w:rFonts w:ascii="Lustria" w:eastAsia="Lustria" w:hAnsi="Lustria" w:cs="Lustria"/>
              <w:b/>
              <w:color w:val="000000"/>
              <w:sz w:val="18"/>
              <w:szCs w:val="18"/>
            </w:rPr>
            <w:instrText>PAGE</w:instrText>
          </w:r>
          <w:r>
            <w:rPr>
              <w:rFonts w:ascii="Lustria" w:eastAsia="Lustria" w:hAnsi="Lustria" w:cs="Lustria"/>
              <w:b/>
              <w:color w:val="000000"/>
              <w:sz w:val="18"/>
              <w:szCs w:val="18"/>
            </w:rPr>
            <w:fldChar w:fldCharType="separate"/>
          </w:r>
          <w:r>
            <w:rPr>
              <w:rFonts w:ascii="Lustria" w:eastAsia="Lustria" w:hAnsi="Lustria" w:cs="Lustria"/>
              <w:b/>
              <w:color w:val="000000"/>
              <w:sz w:val="18"/>
              <w:szCs w:val="18"/>
            </w:rPr>
            <w:t>395</w:t>
          </w:r>
          <w:r>
            <w:rPr>
              <w:rFonts w:ascii="Lustria" w:eastAsia="Lustria" w:hAnsi="Lustria" w:cs="Lustria"/>
              <w:b/>
              <w:color w:val="000000"/>
              <w:sz w:val="18"/>
              <w:szCs w:val="18"/>
            </w:rPr>
            <w:fldChar w:fldCharType="end"/>
          </w:r>
        </w:p>
      </w:tc>
    </w:tr>
  </w:tbl>
  <w:p w14:paraId="1E90823E" w14:textId="77777777" w:rsidR="00836B24" w:rsidRDefault="00836B24" w:rsidP="008B4F40">
    <w:pPr>
      <w:pBdr>
        <w:top w:val="nil"/>
        <w:left w:val="nil"/>
        <w:bottom w:val="nil"/>
        <w:right w:val="nil"/>
        <w:between w:val="nil"/>
      </w:pBdr>
      <w:tabs>
        <w:tab w:val="center" w:pos="4680"/>
        <w:tab w:val="right" w:pos="9360"/>
      </w:tabs>
      <w:rPr>
        <w:color w:val="000000"/>
      </w:rPr>
    </w:pPr>
  </w:p>
  <w:p w14:paraId="28E1572C" w14:textId="77777777" w:rsidR="00836B24" w:rsidRDefault="00836B24" w:rsidP="008B4F40">
    <w:pPr>
      <w:pBdr>
        <w:top w:val="nil"/>
        <w:left w:val="nil"/>
        <w:bottom w:val="nil"/>
        <w:right w:val="nil"/>
        <w:between w:val="nil"/>
      </w:pBdr>
      <w:tabs>
        <w:tab w:val="center" w:pos="4680"/>
        <w:tab w:val="right" w:pos="9360"/>
      </w:tabs>
      <w:rPr>
        <w:color w:val="000000"/>
      </w:rPr>
    </w:pPr>
  </w:p>
  <w:p w14:paraId="67D9F3DF" w14:textId="77777777" w:rsidR="00836B24" w:rsidRDefault="00836B24" w:rsidP="008B4F40">
    <w:pPr>
      <w:pBdr>
        <w:top w:val="nil"/>
        <w:left w:val="nil"/>
        <w:bottom w:val="nil"/>
        <w:right w:val="nil"/>
        <w:between w:val="nil"/>
      </w:pBdr>
      <w:tabs>
        <w:tab w:val="center" w:pos="4680"/>
        <w:tab w:val="right" w:pos="9360"/>
      </w:tabs>
      <w:rPr>
        <w:color w:val="000000"/>
      </w:rPr>
    </w:pPr>
  </w:p>
  <w:p w14:paraId="2F6D9764" w14:textId="77777777" w:rsidR="00836B24" w:rsidRDefault="00836B24" w:rsidP="008B4F40">
    <w:pPr>
      <w:pBdr>
        <w:top w:val="nil"/>
        <w:left w:val="nil"/>
        <w:bottom w:val="nil"/>
        <w:right w:val="nil"/>
        <w:between w:val="nil"/>
      </w:pBdr>
      <w:tabs>
        <w:tab w:val="center" w:pos="4680"/>
        <w:tab w:val="right" w:pos="9360"/>
      </w:tabs>
      <w:rPr>
        <w:color w:val="000000"/>
      </w:rPr>
    </w:pPr>
  </w:p>
  <w:p w14:paraId="1A55A7F4" w14:textId="77777777" w:rsidR="00836B24" w:rsidRDefault="00836B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8BCE" w14:textId="77777777" w:rsidR="0074142C" w:rsidRPr="00ED44E2" w:rsidRDefault="0074142C">
    <w:pPr>
      <w:pBdr>
        <w:top w:val="nil"/>
        <w:left w:val="nil"/>
        <w:bottom w:val="nil"/>
        <w:right w:val="nil"/>
        <w:between w:val="nil"/>
      </w:pBdr>
      <w:tabs>
        <w:tab w:val="center" w:pos="4680"/>
        <w:tab w:val="right" w:pos="9360"/>
      </w:tabs>
      <w:rPr>
        <w:rFonts w:ascii="Footlight MT Light" w:eastAsia="Gentium Basic" w:hAnsi="Footlight MT Light" w:cs="Gentium Basic"/>
        <w:color w:val="000000"/>
      </w:rPr>
    </w:pPr>
  </w:p>
  <w:tbl>
    <w:tblPr>
      <w:tblStyle w:val="a3"/>
      <w:tblW w:w="9642" w:type="dxa"/>
      <w:tblBorders>
        <w:top w:val="single" w:sz="8" w:space="0" w:color="000000"/>
      </w:tblBorders>
      <w:tblLayout w:type="fixed"/>
      <w:tblLook w:val="0000" w:firstRow="0" w:lastRow="0" w:firstColumn="0" w:lastColumn="0" w:noHBand="0" w:noVBand="0"/>
    </w:tblPr>
    <w:tblGrid>
      <w:gridCol w:w="8890"/>
      <w:gridCol w:w="264"/>
      <w:gridCol w:w="488"/>
    </w:tblGrid>
    <w:tr w:rsidR="0074142C" w:rsidRPr="00ED44E2" w14:paraId="08397114" w14:textId="77777777">
      <w:trPr>
        <w:trHeight w:val="247"/>
      </w:trPr>
      <w:tc>
        <w:tcPr>
          <w:tcW w:w="8890" w:type="dxa"/>
          <w:vAlign w:val="center"/>
        </w:tcPr>
        <w:p w14:paraId="3A4E3A4C" w14:textId="4C9C53D9" w:rsidR="0074142C" w:rsidRPr="00E84392" w:rsidRDefault="00E84392" w:rsidP="00A20722">
          <w:pPr>
            <w:rPr>
              <w:rFonts w:ascii="Footlight MT Light" w:hAnsi="Footlight MT Light"/>
              <w:i/>
              <w:iCs/>
              <w:sz w:val="24"/>
              <w:szCs w:val="24"/>
            </w:rPr>
          </w:pPr>
          <w:bookmarkStart w:id="0" w:name="_Hlk210334587"/>
          <w:r w:rsidRPr="00E84392">
            <w:rPr>
              <w:rFonts w:ascii="Footlight MT Light" w:hAnsi="Footlight MT Light"/>
              <w:i/>
              <w:iCs/>
              <w:sz w:val="22"/>
              <w:szCs w:val="22"/>
            </w:rPr>
            <w:t>Strategi Pemasaran Berbasis Komunitas pada Desa Wisata Sade Lombok Tengah</w:t>
          </w:r>
          <w:bookmarkEnd w:id="0"/>
          <w:r w:rsidR="00CE1408">
            <w:rPr>
              <w:rFonts w:ascii="Footlight MT Light" w:eastAsia="Gentium Basic" w:hAnsi="Footlight MT Light" w:cs="Gentium Basic"/>
              <w:i/>
              <w:color w:val="000000"/>
            </w:rPr>
            <w:t>....</w:t>
          </w:r>
        </w:p>
      </w:tc>
      <w:tc>
        <w:tcPr>
          <w:tcW w:w="264" w:type="dxa"/>
          <w:vAlign w:val="center"/>
        </w:tcPr>
        <w:p w14:paraId="661F54FE" w14:textId="77777777" w:rsidR="0074142C" w:rsidRPr="00ED44E2" w:rsidRDefault="00000000">
          <w:pPr>
            <w:tabs>
              <w:tab w:val="center" w:pos="4680"/>
              <w:tab w:val="right" w:pos="9360"/>
            </w:tabs>
            <w:ind w:right="-188"/>
            <w:rPr>
              <w:rFonts w:ascii="Footlight MT Light" w:eastAsia="Lustria" w:hAnsi="Footlight MT Light" w:cs="Lustria"/>
              <w:color w:val="000000"/>
              <w:sz w:val="18"/>
              <w:szCs w:val="18"/>
            </w:rPr>
          </w:pPr>
          <w:r w:rsidRPr="00ED44E2">
            <w:rPr>
              <w:rFonts w:ascii="Footlight MT Light" w:eastAsia="Lustria" w:hAnsi="Footlight MT Light" w:cs="Lustria"/>
              <w:color w:val="000000"/>
              <w:sz w:val="18"/>
              <w:szCs w:val="18"/>
            </w:rPr>
            <w:t>|</w:t>
          </w:r>
        </w:p>
      </w:tc>
      <w:tc>
        <w:tcPr>
          <w:tcW w:w="488" w:type="dxa"/>
          <w:vAlign w:val="center"/>
        </w:tcPr>
        <w:p w14:paraId="5B0C76E1" w14:textId="77777777" w:rsidR="0074142C" w:rsidRPr="00ED44E2" w:rsidRDefault="00000000">
          <w:pPr>
            <w:tabs>
              <w:tab w:val="center" w:pos="4680"/>
              <w:tab w:val="right" w:pos="9360"/>
            </w:tabs>
            <w:ind w:left="-142" w:right="-188"/>
            <w:rPr>
              <w:rFonts w:ascii="Footlight MT Light" w:eastAsia="Lustria" w:hAnsi="Footlight MT Light" w:cs="Lustria"/>
              <w:color w:val="000000"/>
              <w:sz w:val="18"/>
              <w:szCs w:val="18"/>
            </w:rPr>
          </w:pPr>
          <w:r w:rsidRPr="00ED44E2">
            <w:rPr>
              <w:rFonts w:ascii="Footlight MT Light" w:eastAsia="Lustria" w:hAnsi="Footlight MT Light" w:cs="Lustria"/>
              <w:b/>
              <w:color w:val="000000"/>
              <w:sz w:val="18"/>
              <w:szCs w:val="18"/>
            </w:rPr>
            <w:t xml:space="preserve">  </w:t>
          </w:r>
          <w:r w:rsidRPr="00ED44E2">
            <w:rPr>
              <w:rFonts w:ascii="Footlight MT Light" w:eastAsia="Lustria" w:hAnsi="Footlight MT Light" w:cs="Lustria"/>
              <w:b/>
              <w:color w:val="000000"/>
              <w:sz w:val="18"/>
              <w:szCs w:val="18"/>
            </w:rPr>
            <w:fldChar w:fldCharType="begin"/>
          </w:r>
          <w:r w:rsidRPr="00ED44E2">
            <w:rPr>
              <w:rFonts w:ascii="Footlight MT Light" w:eastAsia="Lustria" w:hAnsi="Footlight MT Light" w:cs="Lustria"/>
              <w:b/>
              <w:color w:val="000000"/>
              <w:sz w:val="18"/>
              <w:szCs w:val="18"/>
            </w:rPr>
            <w:instrText>PAGE</w:instrText>
          </w:r>
          <w:r w:rsidRPr="00ED44E2">
            <w:rPr>
              <w:rFonts w:ascii="Footlight MT Light" w:eastAsia="Lustria" w:hAnsi="Footlight MT Light" w:cs="Lustria"/>
              <w:b/>
              <w:color w:val="000000"/>
              <w:sz w:val="18"/>
              <w:szCs w:val="18"/>
            </w:rPr>
            <w:fldChar w:fldCharType="separate"/>
          </w:r>
          <w:r w:rsidR="00FD068F" w:rsidRPr="00ED44E2">
            <w:rPr>
              <w:rFonts w:ascii="Footlight MT Light" w:eastAsia="Lustria" w:hAnsi="Footlight MT Light" w:cs="Lustria"/>
              <w:b/>
              <w:noProof/>
              <w:color w:val="000000"/>
              <w:sz w:val="18"/>
              <w:szCs w:val="18"/>
            </w:rPr>
            <w:t>2</w:t>
          </w:r>
          <w:r w:rsidRPr="00ED44E2">
            <w:rPr>
              <w:rFonts w:ascii="Footlight MT Light" w:eastAsia="Lustria" w:hAnsi="Footlight MT Light" w:cs="Lustria"/>
              <w:b/>
              <w:color w:val="000000"/>
              <w:sz w:val="18"/>
              <w:szCs w:val="18"/>
            </w:rPr>
            <w:fldChar w:fldCharType="end"/>
          </w:r>
        </w:p>
      </w:tc>
    </w:tr>
  </w:tbl>
  <w:p w14:paraId="1EB3CFDA"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7339B1E3"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076A4D8D"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2B26" w14:textId="77777777" w:rsidR="0074142C" w:rsidRDefault="0074142C">
    <w:pPr>
      <w:pBdr>
        <w:top w:val="nil"/>
        <w:left w:val="nil"/>
        <w:bottom w:val="nil"/>
        <w:right w:val="nil"/>
        <w:between w:val="nil"/>
      </w:pBdr>
      <w:tabs>
        <w:tab w:val="center" w:pos="4680"/>
        <w:tab w:val="right" w:pos="9360"/>
      </w:tabs>
      <w:rPr>
        <w:color w:val="000000"/>
      </w:rPr>
    </w:pPr>
  </w:p>
  <w:tbl>
    <w:tblPr>
      <w:tblStyle w:val="a4"/>
      <w:tblW w:w="9626" w:type="dxa"/>
      <w:tblBorders>
        <w:top w:val="single" w:sz="8" w:space="0" w:color="000000"/>
      </w:tblBorders>
      <w:tblLayout w:type="fixed"/>
      <w:tblLook w:val="0000" w:firstRow="0" w:lastRow="0" w:firstColumn="0" w:lastColumn="0" w:noHBand="0" w:noVBand="0"/>
    </w:tblPr>
    <w:tblGrid>
      <w:gridCol w:w="8879"/>
      <w:gridCol w:w="261"/>
      <w:gridCol w:w="486"/>
    </w:tblGrid>
    <w:tr w:rsidR="0074142C" w14:paraId="07F1A974" w14:textId="77777777">
      <w:trPr>
        <w:trHeight w:val="251"/>
      </w:trPr>
      <w:tc>
        <w:tcPr>
          <w:tcW w:w="8879" w:type="dxa"/>
          <w:vAlign w:val="center"/>
        </w:tcPr>
        <w:p w14:paraId="299A30CA" w14:textId="77777777" w:rsidR="0074142C" w:rsidRDefault="0074142C">
          <w:pPr>
            <w:tabs>
              <w:tab w:val="center" w:pos="4680"/>
              <w:tab w:val="right" w:pos="9360"/>
            </w:tabs>
            <w:ind w:right="-188"/>
            <w:rPr>
              <w:rFonts w:ascii="Lustria" w:eastAsia="Lustria" w:hAnsi="Lustria" w:cs="Lustria"/>
              <w:color w:val="000000"/>
              <w:sz w:val="18"/>
              <w:szCs w:val="18"/>
            </w:rPr>
          </w:pPr>
        </w:p>
      </w:tc>
      <w:tc>
        <w:tcPr>
          <w:tcW w:w="261" w:type="dxa"/>
          <w:vAlign w:val="center"/>
        </w:tcPr>
        <w:p w14:paraId="1B4E8303" w14:textId="77777777" w:rsidR="0074142C" w:rsidRDefault="00000000">
          <w:pPr>
            <w:tabs>
              <w:tab w:val="center" w:pos="4680"/>
              <w:tab w:val="right" w:pos="9360"/>
            </w:tabs>
            <w:ind w:right="-188"/>
            <w:rPr>
              <w:rFonts w:ascii="Lustria" w:eastAsia="Lustria" w:hAnsi="Lustria" w:cs="Lustria"/>
              <w:color w:val="000000"/>
              <w:sz w:val="18"/>
              <w:szCs w:val="18"/>
            </w:rPr>
          </w:pPr>
          <w:r>
            <w:rPr>
              <w:rFonts w:ascii="Lustria" w:eastAsia="Lustria" w:hAnsi="Lustria" w:cs="Lustria"/>
              <w:color w:val="000000"/>
              <w:sz w:val="18"/>
              <w:szCs w:val="18"/>
            </w:rPr>
            <w:t>|</w:t>
          </w:r>
        </w:p>
      </w:tc>
      <w:tc>
        <w:tcPr>
          <w:tcW w:w="486" w:type="dxa"/>
          <w:vAlign w:val="center"/>
        </w:tcPr>
        <w:p w14:paraId="2E04C476" w14:textId="77777777" w:rsidR="0074142C" w:rsidRDefault="00000000">
          <w:pPr>
            <w:tabs>
              <w:tab w:val="center" w:pos="4680"/>
              <w:tab w:val="right" w:pos="9360"/>
            </w:tabs>
            <w:ind w:left="-142" w:right="-188"/>
            <w:rPr>
              <w:rFonts w:ascii="Lustria" w:eastAsia="Lustria" w:hAnsi="Lustria" w:cs="Lustria"/>
              <w:color w:val="000000"/>
              <w:sz w:val="18"/>
              <w:szCs w:val="18"/>
            </w:rPr>
          </w:pPr>
          <w:r>
            <w:rPr>
              <w:rFonts w:ascii="Lustria" w:eastAsia="Lustria" w:hAnsi="Lustria" w:cs="Lustria"/>
              <w:b/>
              <w:color w:val="000000"/>
              <w:sz w:val="18"/>
              <w:szCs w:val="18"/>
            </w:rPr>
            <w:t xml:space="preserve">  </w:t>
          </w:r>
          <w:r>
            <w:rPr>
              <w:rFonts w:ascii="Lustria" w:eastAsia="Lustria" w:hAnsi="Lustria" w:cs="Lustria"/>
              <w:b/>
              <w:color w:val="000000"/>
              <w:sz w:val="18"/>
              <w:szCs w:val="18"/>
            </w:rPr>
            <w:fldChar w:fldCharType="begin"/>
          </w:r>
          <w:r>
            <w:rPr>
              <w:rFonts w:ascii="Lustria" w:eastAsia="Lustria" w:hAnsi="Lustria" w:cs="Lustria"/>
              <w:b/>
              <w:color w:val="000000"/>
              <w:sz w:val="18"/>
              <w:szCs w:val="18"/>
            </w:rPr>
            <w:instrText>PAGE</w:instrText>
          </w:r>
          <w:r>
            <w:rPr>
              <w:rFonts w:ascii="Lustria" w:eastAsia="Lustria" w:hAnsi="Lustria" w:cs="Lustria"/>
              <w:b/>
              <w:color w:val="000000"/>
              <w:sz w:val="18"/>
              <w:szCs w:val="18"/>
            </w:rPr>
            <w:fldChar w:fldCharType="separate"/>
          </w:r>
          <w:r w:rsidR="00FD068F">
            <w:rPr>
              <w:rFonts w:ascii="Lustria" w:eastAsia="Lustria" w:hAnsi="Lustria" w:cs="Lustria"/>
              <w:b/>
              <w:noProof/>
              <w:color w:val="000000"/>
              <w:sz w:val="18"/>
              <w:szCs w:val="18"/>
            </w:rPr>
            <w:t>1</w:t>
          </w:r>
          <w:r>
            <w:rPr>
              <w:rFonts w:ascii="Lustria" w:eastAsia="Lustria" w:hAnsi="Lustria" w:cs="Lustria"/>
              <w:b/>
              <w:color w:val="000000"/>
              <w:sz w:val="18"/>
              <w:szCs w:val="18"/>
            </w:rPr>
            <w:fldChar w:fldCharType="end"/>
          </w:r>
        </w:p>
      </w:tc>
    </w:tr>
  </w:tbl>
  <w:p w14:paraId="5CFE7EA9" w14:textId="77777777" w:rsidR="0074142C" w:rsidRDefault="0074142C">
    <w:pPr>
      <w:pBdr>
        <w:top w:val="nil"/>
        <w:left w:val="nil"/>
        <w:bottom w:val="nil"/>
        <w:right w:val="nil"/>
        <w:between w:val="nil"/>
      </w:pBdr>
      <w:tabs>
        <w:tab w:val="center" w:pos="4680"/>
        <w:tab w:val="right" w:pos="9360"/>
      </w:tabs>
      <w:rPr>
        <w:color w:val="000000"/>
      </w:rPr>
    </w:pPr>
  </w:p>
  <w:p w14:paraId="2A4E0A17" w14:textId="77777777" w:rsidR="0074142C" w:rsidRDefault="0074142C">
    <w:pPr>
      <w:pBdr>
        <w:top w:val="nil"/>
        <w:left w:val="nil"/>
        <w:bottom w:val="nil"/>
        <w:right w:val="nil"/>
        <w:between w:val="nil"/>
      </w:pBdr>
      <w:tabs>
        <w:tab w:val="center" w:pos="4680"/>
        <w:tab w:val="right" w:pos="9360"/>
      </w:tabs>
      <w:rPr>
        <w:color w:val="000000"/>
      </w:rPr>
    </w:pPr>
  </w:p>
  <w:p w14:paraId="0EE5CF07" w14:textId="77777777" w:rsidR="0074142C" w:rsidRDefault="0074142C">
    <w:pPr>
      <w:pBdr>
        <w:top w:val="nil"/>
        <w:left w:val="nil"/>
        <w:bottom w:val="nil"/>
        <w:right w:val="nil"/>
        <w:between w:val="nil"/>
      </w:pBdr>
      <w:tabs>
        <w:tab w:val="center" w:pos="4680"/>
        <w:tab w:val="right" w:pos="9360"/>
      </w:tabs>
      <w:rPr>
        <w:color w:val="000000"/>
      </w:rPr>
    </w:pPr>
  </w:p>
  <w:p w14:paraId="2143FBA3" w14:textId="77777777" w:rsidR="0074142C" w:rsidRDefault="0074142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BE7CB" w14:textId="77777777" w:rsidR="00BD15A3" w:rsidRDefault="00BD15A3">
      <w:r>
        <w:separator/>
      </w:r>
    </w:p>
  </w:footnote>
  <w:footnote w:type="continuationSeparator" w:id="0">
    <w:p w14:paraId="54B4CED8" w14:textId="77777777" w:rsidR="00BD15A3" w:rsidRDefault="00BD1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D62E"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p w14:paraId="403074FC"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p w14:paraId="1E04ABF5"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p w14:paraId="3445A9A0"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p w14:paraId="6F892DDF"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tbl>
    <w:tblPr>
      <w:tblW w:w="9621" w:type="dxa"/>
      <w:jc w:val="center"/>
      <w:tblBorders>
        <w:bottom w:val="single" w:sz="12" w:space="0" w:color="000000"/>
      </w:tblBorders>
      <w:tblLayout w:type="fixed"/>
      <w:tblLook w:val="0000" w:firstRow="0" w:lastRow="0" w:firstColumn="0" w:lastColumn="0" w:noHBand="0" w:noVBand="0"/>
    </w:tblPr>
    <w:tblGrid>
      <w:gridCol w:w="4781"/>
      <w:gridCol w:w="4840"/>
    </w:tblGrid>
    <w:tr w:rsidR="00836B24" w:rsidRPr="00ED44E2" w14:paraId="57D8B23B" w14:textId="77777777" w:rsidTr="001B72C5">
      <w:trPr>
        <w:trHeight w:val="142"/>
        <w:jc w:val="center"/>
      </w:trPr>
      <w:tc>
        <w:tcPr>
          <w:tcW w:w="4781" w:type="dxa"/>
        </w:tcPr>
        <w:p w14:paraId="7CB1C08A" w14:textId="1266E98E" w:rsidR="00836B24" w:rsidRPr="00ED44E2" w:rsidRDefault="00E84392" w:rsidP="008B4F40">
          <w:pPr>
            <w:tabs>
              <w:tab w:val="center" w:pos="4680"/>
              <w:tab w:val="right" w:pos="9360"/>
            </w:tabs>
            <w:rPr>
              <w:rFonts w:ascii="Footlight MT Light" w:eastAsia="Gentium Basic" w:hAnsi="Footlight MT Light" w:cs="Gentium Basic"/>
              <w:color w:val="000000"/>
              <w:sz w:val="18"/>
              <w:szCs w:val="18"/>
            </w:rPr>
          </w:pPr>
          <w:r>
            <w:rPr>
              <w:rFonts w:ascii="Footlight MT Light" w:eastAsia="Gentium Basic" w:hAnsi="Footlight MT Light" w:cs="Gentium Basic"/>
              <w:color w:val="000000"/>
              <w:sz w:val="18"/>
              <w:szCs w:val="18"/>
            </w:rPr>
            <w:t>Salim</w:t>
          </w:r>
        </w:p>
      </w:tc>
      <w:tc>
        <w:tcPr>
          <w:tcW w:w="4840" w:type="dxa"/>
        </w:tcPr>
        <w:p w14:paraId="4A346A24" w14:textId="5B0EA314" w:rsidR="00836B24" w:rsidRPr="00ED44E2" w:rsidRDefault="00CB0720" w:rsidP="008B4F40">
          <w:pPr>
            <w:tabs>
              <w:tab w:val="center" w:pos="4680"/>
              <w:tab w:val="right" w:pos="9360"/>
            </w:tabs>
            <w:jc w:val="right"/>
            <w:rPr>
              <w:rFonts w:ascii="Footlight MT Light" w:eastAsia="Arial" w:hAnsi="Footlight MT Light" w:cs="Arial"/>
              <w:i/>
              <w:color w:val="000000"/>
            </w:rPr>
          </w:pPr>
          <w:r w:rsidRPr="00CB0720">
            <w:rPr>
              <w:rFonts w:ascii="Footlight MT Light" w:eastAsia="Gentium Basic" w:hAnsi="Footlight MT Light" w:cs="Gentium Basic"/>
              <w:color w:val="231F20"/>
            </w:rPr>
            <w:t>10.55681/armada.v2i6</w:t>
          </w:r>
          <w:r w:rsidR="00836B24" w:rsidRPr="00ED44E2">
            <w:rPr>
              <w:rFonts w:ascii="Footlight MT Light" w:eastAsia="Gentium Basic" w:hAnsi="Footlight MT Light" w:cs="Gentium Basic"/>
              <w:color w:val="231F20"/>
            </w:rPr>
            <w:t>.</w:t>
          </w:r>
          <w:r w:rsidR="005B0D5D">
            <w:rPr>
              <w:rFonts w:ascii="Footlight MT Light" w:eastAsia="Gentium Basic" w:hAnsi="Footlight MT Light" w:cs="Gentium Basic"/>
              <w:color w:val="231F20"/>
            </w:rPr>
            <w:t>1683</w:t>
          </w:r>
        </w:p>
      </w:tc>
    </w:tr>
  </w:tbl>
  <w:p w14:paraId="2F3A6264" w14:textId="77777777" w:rsidR="00836B24" w:rsidRPr="00ED44E2" w:rsidRDefault="00836B24" w:rsidP="008B4F40">
    <w:pPr>
      <w:pBdr>
        <w:top w:val="nil"/>
        <w:left w:val="nil"/>
        <w:bottom w:val="nil"/>
        <w:right w:val="nil"/>
        <w:between w:val="nil"/>
      </w:pBdr>
      <w:tabs>
        <w:tab w:val="center" w:pos="4680"/>
        <w:tab w:val="right" w:pos="9360"/>
      </w:tabs>
      <w:rPr>
        <w:rFonts w:ascii="Footlight MT Light" w:hAnsi="Footlight MT Light"/>
        <w:color w:val="000000"/>
      </w:rPr>
    </w:pPr>
  </w:p>
  <w:p w14:paraId="6DDD71D0" w14:textId="77777777" w:rsidR="00836B24" w:rsidRDefault="00836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A960"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10F88864"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299526DE"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5A00D183"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p w14:paraId="6C7277A3"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tbl>
    <w:tblPr>
      <w:tblStyle w:val="a2"/>
      <w:tblW w:w="9621" w:type="dxa"/>
      <w:tblBorders>
        <w:bottom w:val="single" w:sz="12" w:space="0" w:color="000000"/>
      </w:tblBorders>
      <w:tblLayout w:type="fixed"/>
      <w:tblLook w:val="0000" w:firstRow="0" w:lastRow="0" w:firstColumn="0" w:lastColumn="0" w:noHBand="0" w:noVBand="0"/>
    </w:tblPr>
    <w:tblGrid>
      <w:gridCol w:w="4781"/>
      <w:gridCol w:w="4840"/>
    </w:tblGrid>
    <w:tr w:rsidR="0074142C" w:rsidRPr="00ED44E2" w14:paraId="2E2FAEDB" w14:textId="77777777">
      <w:trPr>
        <w:trHeight w:val="142"/>
      </w:trPr>
      <w:tc>
        <w:tcPr>
          <w:tcW w:w="4781" w:type="dxa"/>
        </w:tcPr>
        <w:p w14:paraId="7E649B60" w14:textId="27D567AF" w:rsidR="0074142C" w:rsidRPr="00ED44E2" w:rsidRDefault="00E84392">
          <w:pPr>
            <w:tabs>
              <w:tab w:val="center" w:pos="4680"/>
              <w:tab w:val="right" w:pos="9360"/>
            </w:tabs>
            <w:rPr>
              <w:rFonts w:ascii="Footlight MT Light" w:eastAsia="Gentium Basic" w:hAnsi="Footlight MT Light" w:cs="Gentium Basic"/>
              <w:color w:val="000000"/>
              <w:sz w:val="18"/>
              <w:szCs w:val="18"/>
            </w:rPr>
          </w:pPr>
          <w:r>
            <w:rPr>
              <w:rFonts w:ascii="Footlight MT Light" w:eastAsia="Gentium Basic" w:hAnsi="Footlight MT Light" w:cs="Gentium Basic"/>
              <w:color w:val="000000"/>
              <w:sz w:val="18"/>
              <w:szCs w:val="18"/>
            </w:rPr>
            <w:t>Salim</w:t>
          </w:r>
        </w:p>
      </w:tc>
      <w:tc>
        <w:tcPr>
          <w:tcW w:w="4840" w:type="dxa"/>
        </w:tcPr>
        <w:p w14:paraId="74A9B91E" w14:textId="0C706EDD" w:rsidR="0074142C" w:rsidRPr="00ED44E2" w:rsidRDefault="00000000">
          <w:pPr>
            <w:tabs>
              <w:tab w:val="center" w:pos="4680"/>
              <w:tab w:val="right" w:pos="9360"/>
            </w:tabs>
            <w:jc w:val="right"/>
            <w:rPr>
              <w:rFonts w:ascii="Footlight MT Light" w:eastAsia="Arial" w:hAnsi="Footlight MT Light" w:cs="Arial"/>
              <w:i/>
              <w:color w:val="000000"/>
            </w:rPr>
          </w:pPr>
          <w:r w:rsidRPr="00ED44E2">
            <w:rPr>
              <w:rFonts w:ascii="Footlight MT Light" w:eastAsia="Gentium Basic" w:hAnsi="Footlight MT Light" w:cs="Gentium Basic"/>
              <w:color w:val="231F20"/>
            </w:rPr>
            <w:t>10.55681/armada.v1i1.</w:t>
          </w:r>
          <w:r w:rsidR="005B0D5D">
            <w:rPr>
              <w:rFonts w:ascii="Footlight MT Light" w:eastAsia="Gentium Basic" w:hAnsi="Footlight MT Light" w:cs="Gentium Basic"/>
              <w:color w:val="231F20"/>
            </w:rPr>
            <w:t>1683</w:t>
          </w:r>
        </w:p>
      </w:tc>
    </w:tr>
  </w:tbl>
  <w:p w14:paraId="7653E43E" w14:textId="77777777" w:rsidR="0074142C" w:rsidRPr="00ED44E2" w:rsidRDefault="0074142C">
    <w:pPr>
      <w:pBdr>
        <w:top w:val="nil"/>
        <w:left w:val="nil"/>
        <w:bottom w:val="nil"/>
        <w:right w:val="nil"/>
        <w:between w:val="nil"/>
      </w:pBdr>
      <w:tabs>
        <w:tab w:val="center" w:pos="4680"/>
        <w:tab w:val="right" w:pos="9360"/>
      </w:tabs>
      <w:rPr>
        <w:rFonts w:ascii="Footlight MT Light" w:hAnsi="Footlight MT Light"/>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0EFB"/>
    <w:multiLevelType w:val="hybridMultilevel"/>
    <w:tmpl w:val="B0786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14CF0"/>
    <w:multiLevelType w:val="hybridMultilevel"/>
    <w:tmpl w:val="C804C23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174C622E"/>
    <w:multiLevelType w:val="hybridMultilevel"/>
    <w:tmpl w:val="045EEB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B6B11C7"/>
    <w:multiLevelType w:val="hybridMultilevel"/>
    <w:tmpl w:val="221ABEA4"/>
    <w:lvl w:ilvl="0" w:tplc="04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1FCB765A"/>
    <w:multiLevelType w:val="hybridMultilevel"/>
    <w:tmpl w:val="6C08E990"/>
    <w:lvl w:ilvl="0" w:tplc="04210019">
      <w:start w:val="1"/>
      <w:numFmt w:val="lowerLetter"/>
      <w:lvlText w:val="%1."/>
      <w:lvlJc w:val="left"/>
      <w:pPr>
        <w:ind w:left="1260" w:hanging="54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4435E65"/>
    <w:multiLevelType w:val="hybridMultilevel"/>
    <w:tmpl w:val="E05476EE"/>
    <w:lvl w:ilvl="0" w:tplc="E458AF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C1294"/>
    <w:multiLevelType w:val="hybridMultilevel"/>
    <w:tmpl w:val="D554A5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8E4E6C"/>
    <w:multiLevelType w:val="hybridMultilevel"/>
    <w:tmpl w:val="F9168652"/>
    <w:lvl w:ilvl="0" w:tplc="38090015">
      <w:start w:val="1"/>
      <w:numFmt w:val="upperLetter"/>
      <w:lvlText w:val="%1."/>
      <w:lvlJc w:val="left"/>
      <w:pPr>
        <w:ind w:left="720" w:hanging="360"/>
      </w:pPr>
      <w:rPr>
        <w:rFonts w:hint="default"/>
      </w:rPr>
    </w:lvl>
    <w:lvl w:ilvl="1" w:tplc="0409000F">
      <w:start w:val="1"/>
      <w:numFmt w:val="decimal"/>
      <w:lvlText w:val="%2."/>
      <w:lvlJc w:val="left"/>
      <w:pPr>
        <w:ind w:left="1530" w:hanging="450"/>
      </w:pPr>
      <w:rPr>
        <w:rFonts w:hint="default"/>
        <w:color w:val="000000"/>
      </w:rPr>
    </w:lvl>
    <w:lvl w:ilvl="2" w:tplc="7E448D52">
      <w:start w:val="1"/>
      <w:numFmt w:val="lowerLetter"/>
      <w:lvlText w:val="%3."/>
      <w:lvlJc w:val="left"/>
      <w:pPr>
        <w:ind w:left="2565" w:hanging="585"/>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CDA61F5"/>
    <w:multiLevelType w:val="hybridMultilevel"/>
    <w:tmpl w:val="9500B778"/>
    <w:lvl w:ilvl="0" w:tplc="46B4FA86">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9" w15:restartNumberingAfterBreak="0">
    <w:nsid w:val="2DE448D7"/>
    <w:multiLevelType w:val="hybridMultilevel"/>
    <w:tmpl w:val="5CFA388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377256EF"/>
    <w:multiLevelType w:val="hybridMultilevel"/>
    <w:tmpl w:val="8DC072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B3D542B"/>
    <w:multiLevelType w:val="multilevel"/>
    <w:tmpl w:val="64E4F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8917E6"/>
    <w:multiLevelType w:val="hybridMultilevel"/>
    <w:tmpl w:val="E9A62C46"/>
    <w:lvl w:ilvl="0" w:tplc="0421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2776A3"/>
    <w:multiLevelType w:val="hybridMultilevel"/>
    <w:tmpl w:val="BD76E9A8"/>
    <w:lvl w:ilvl="0" w:tplc="F628F85E">
      <w:start w:val="1"/>
      <w:numFmt w:val="decimal"/>
      <w:lvlText w:val="%1."/>
      <w:lvlJc w:val="left"/>
      <w:pPr>
        <w:ind w:left="416" w:hanging="360"/>
      </w:pPr>
      <w:rPr>
        <w:rFonts w:hint="default"/>
      </w:rPr>
    </w:lvl>
    <w:lvl w:ilvl="1" w:tplc="38090019" w:tentative="1">
      <w:start w:val="1"/>
      <w:numFmt w:val="lowerLetter"/>
      <w:lvlText w:val="%2."/>
      <w:lvlJc w:val="left"/>
      <w:pPr>
        <w:ind w:left="1136" w:hanging="360"/>
      </w:pPr>
    </w:lvl>
    <w:lvl w:ilvl="2" w:tplc="3809001B" w:tentative="1">
      <w:start w:val="1"/>
      <w:numFmt w:val="lowerRoman"/>
      <w:lvlText w:val="%3."/>
      <w:lvlJc w:val="right"/>
      <w:pPr>
        <w:ind w:left="1856" w:hanging="180"/>
      </w:pPr>
    </w:lvl>
    <w:lvl w:ilvl="3" w:tplc="3809000F" w:tentative="1">
      <w:start w:val="1"/>
      <w:numFmt w:val="decimal"/>
      <w:lvlText w:val="%4."/>
      <w:lvlJc w:val="left"/>
      <w:pPr>
        <w:ind w:left="2576" w:hanging="360"/>
      </w:pPr>
    </w:lvl>
    <w:lvl w:ilvl="4" w:tplc="38090019" w:tentative="1">
      <w:start w:val="1"/>
      <w:numFmt w:val="lowerLetter"/>
      <w:lvlText w:val="%5."/>
      <w:lvlJc w:val="left"/>
      <w:pPr>
        <w:ind w:left="3296" w:hanging="360"/>
      </w:pPr>
    </w:lvl>
    <w:lvl w:ilvl="5" w:tplc="3809001B" w:tentative="1">
      <w:start w:val="1"/>
      <w:numFmt w:val="lowerRoman"/>
      <w:lvlText w:val="%6."/>
      <w:lvlJc w:val="right"/>
      <w:pPr>
        <w:ind w:left="4016" w:hanging="180"/>
      </w:pPr>
    </w:lvl>
    <w:lvl w:ilvl="6" w:tplc="3809000F" w:tentative="1">
      <w:start w:val="1"/>
      <w:numFmt w:val="decimal"/>
      <w:lvlText w:val="%7."/>
      <w:lvlJc w:val="left"/>
      <w:pPr>
        <w:ind w:left="4736" w:hanging="360"/>
      </w:pPr>
    </w:lvl>
    <w:lvl w:ilvl="7" w:tplc="38090019" w:tentative="1">
      <w:start w:val="1"/>
      <w:numFmt w:val="lowerLetter"/>
      <w:lvlText w:val="%8."/>
      <w:lvlJc w:val="left"/>
      <w:pPr>
        <w:ind w:left="5456" w:hanging="360"/>
      </w:pPr>
    </w:lvl>
    <w:lvl w:ilvl="8" w:tplc="3809001B" w:tentative="1">
      <w:start w:val="1"/>
      <w:numFmt w:val="lowerRoman"/>
      <w:lvlText w:val="%9."/>
      <w:lvlJc w:val="right"/>
      <w:pPr>
        <w:ind w:left="6176" w:hanging="180"/>
      </w:pPr>
    </w:lvl>
  </w:abstractNum>
  <w:abstractNum w:abstractNumId="14" w15:restartNumberingAfterBreak="0">
    <w:nsid w:val="4DDD500C"/>
    <w:multiLevelType w:val="hybridMultilevel"/>
    <w:tmpl w:val="A1AE3C8A"/>
    <w:lvl w:ilvl="0" w:tplc="BEE4E02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4FFF1E27"/>
    <w:multiLevelType w:val="hybridMultilevel"/>
    <w:tmpl w:val="0A38593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6" w15:restartNumberingAfterBreak="0">
    <w:nsid w:val="57CF6036"/>
    <w:multiLevelType w:val="multilevel"/>
    <w:tmpl w:val="A1EED5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424F71"/>
    <w:multiLevelType w:val="multilevel"/>
    <w:tmpl w:val="CA302616"/>
    <w:lvl w:ilvl="0">
      <w:start w:val="1"/>
      <w:numFmt w:val="lowerLetter"/>
      <w:pStyle w:val="ItemSyaratTulis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653E4093"/>
    <w:multiLevelType w:val="multilevel"/>
    <w:tmpl w:val="F480601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68FC6522"/>
    <w:multiLevelType w:val="hybridMultilevel"/>
    <w:tmpl w:val="08F4DBA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0" w15:restartNumberingAfterBreak="0">
    <w:nsid w:val="69482D91"/>
    <w:multiLevelType w:val="hybridMultilevel"/>
    <w:tmpl w:val="491C0DD2"/>
    <w:lvl w:ilvl="0" w:tplc="0421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6ACD0C32"/>
    <w:multiLevelType w:val="hybridMultilevel"/>
    <w:tmpl w:val="32C4D8A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447040010">
    <w:abstractNumId w:val="11"/>
  </w:num>
  <w:num w:numId="2" w16cid:durableId="1540817864">
    <w:abstractNumId w:val="17"/>
  </w:num>
  <w:num w:numId="3" w16cid:durableId="13269210">
    <w:abstractNumId w:val="18"/>
  </w:num>
  <w:num w:numId="4" w16cid:durableId="1280915712">
    <w:abstractNumId w:val="7"/>
  </w:num>
  <w:num w:numId="5" w16cid:durableId="54553554">
    <w:abstractNumId w:val="20"/>
  </w:num>
  <w:num w:numId="6" w16cid:durableId="706372630">
    <w:abstractNumId w:val="21"/>
  </w:num>
  <w:num w:numId="7" w16cid:durableId="917207762">
    <w:abstractNumId w:val="13"/>
  </w:num>
  <w:num w:numId="8" w16cid:durableId="185562200">
    <w:abstractNumId w:val="10"/>
  </w:num>
  <w:num w:numId="9" w16cid:durableId="1052969468">
    <w:abstractNumId w:val="15"/>
  </w:num>
  <w:num w:numId="10" w16cid:durableId="2973958">
    <w:abstractNumId w:val="19"/>
  </w:num>
  <w:num w:numId="11" w16cid:durableId="373434536">
    <w:abstractNumId w:val="9"/>
  </w:num>
  <w:num w:numId="12" w16cid:durableId="1562138179">
    <w:abstractNumId w:val="0"/>
  </w:num>
  <w:num w:numId="13" w16cid:durableId="1327318109">
    <w:abstractNumId w:val="6"/>
  </w:num>
  <w:num w:numId="14" w16cid:durableId="1380596390">
    <w:abstractNumId w:val="4"/>
  </w:num>
  <w:num w:numId="15" w16cid:durableId="1111783544">
    <w:abstractNumId w:val="12"/>
  </w:num>
  <w:num w:numId="16" w16cid:durableId="1186090354">
    <w:abstractNumId w:val="14"/>
  </w:num>
  <w:num w:numId="17" w16cid:durableId="1480070421">
    <w:abstractNumId w:val="1"/>
  </w:num>
  <w:num w:numId="18" w16cid:durableId="832139986">
    <w:abstractNumId w:val="3"/>
  </w:num>
  <w:num w:numId="19" w16cid:durableId="1706523851">
    <w:abstractNumId w:val="5"/>
  </w:num>
  <w:num w:numId="20" w16cid:durableId="33041844">
    <w:abstractNumId w:val="8"/>
  </w:num>
  <w:num w:numId="21" w16cid:durableId="1878076909">
    <w:abstractNumId w:val="16"/>
  </w:num>
  <w:num w:numId="22" w16cid:durableId="1233351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42C"/>
    <w:rsid w:val="00075AF9"/>
    <w:rsid w:val="000B35AB"/>
    <w:rsid w:val="000C4082"/>
    <w:rsid w:val="0010121A"/>
    <w:rsid w:val="0016498A"/>
    <w:rsid w:val="001B72C5"/>
    <w:rsid w:val="001F0C3C"/>
    <w:rsid w:val="00236404"/>
    <w:rsid w:val="00255C21"/>
    <w:rsid w:val="00261AD9"/>
    <w:rsid w:val="002C0836"/>
    <w:rsid w:val="002E095A"/>
    <w:rsid w:val="003074F3"/>
    <w:rsid w:val="00322ABA"/>
    <w:rsid w:val="004455EE"/>
    <w:rsid w:val="00463959"/>
    <w:rsid w:val="00501948"/>
    <w:rsid w:val="00540A2D"/>
    <w:rsid w:val="00572E99"/>
    <w:rsid w:val="00594DED"/>
    <w:rsid w:val="005A4F72"/>
    <w:rsid w:val="005B0D5D"/>
    <w:rsid w:val="005B0FF1"/>
    <w:rsid w:val="005B69DB"/>
    <w:rsid w:val="005C0FDC"/>
    <w:rsid w:val="005C4653"/>
    <w:rsid w:val="005E7D74"/>
    <w:rsid w:val="005F737C"/>
    <w:rsid w:val="00633A36"/>
    <w:rsid w:val="006349A6"/>
    <w:rsid w:val="006843AB"/>
    <w:rsid w:val="006C45AE"/>
    <w:rsid w:val="006F2FB7"/>
    <w:rsid w:val="0074142C"/>
    <w:rsid w:val="00760E31"/>
    <w:rsid w:val="007701C3"/>
    <w:rsid w:val="00810FC7"/>
    <w:rsid w:val="00836B24"/>
    <w:rsid w:val="008A3E9F"/>
    <w:rsid w:val="008F4C41"/>
    <w:rsid w:val="00967B16"/>
    <w:rsid w:val="009A03BD"/>
    <w:rsid w:val="009A739E"/>
    <w:rsid w:val="00A20722"/>
    <w:rsid w:val="00A240ED"/>
    <w:rsid w:val="00AA0BCB"/>
    <w:rsid w:val="00AA2FE0"/>
    <w:rsid w:val="00AD66F2"/>
    <w:rsid w:val="00AE0F91"/>
    <w:rsid w:val="00AF2172"/>
    <w:rsid w:val="00B1564C"/>
    <w:rsid w:val="00B44C24"/>
    <w:rsid w:val="00B53D2F"/>
    <w:rsid w:val="00BD15A3"/>
    <w:rsid w:val="00C01CC1"/>
    <w:rsid w:val="00C76668"/>
    <w:rsid w:val="00CB0720"/>
    <w:rsid w:val="00CC64E7"/>
    <w:rsid w:val="00CE1408"/>
    <w:rsid w:val="00D5334E"/>
    <w:rsid w:val="00DA33FC"/>
    <w:rsid w:val="00E1050A"/>
    <w:rsid w:val="00E25548"/>
    <w:rsid w:val="00E44196"/>
    <w:rsid w:val="00E73879"/>
    <w:rsid w:val="00E769BB"/>
    <w:rsid w:val="00E84392"/>
    <w:rsid w:val="00E91165"/>
    <w:rsid w:val="00ED44E2"/>
    <w:rsid w:val="00EE4EED"/>
    <w:rsid w:val="00F11783"/>
    <w:rsid w:val="00F600FE"/>
    <w:rsid w:val="00FB1963"/>
    <w:rsid w:val="00FB48B6"/>
    <w:rsid w:val="00FD06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57836"/>
  <w15:docId w15:val="{2597A9FD-25B5-415F-81FE-265825EC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F0"/>
    <w:rPr>
      <w:lang w:val="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B6272"/>
    <w:pPr>
      <w:spacing w:before="100" w:beforeAutospacing="1" w:after="100" w:afterAutospacing="1"/>
    </w:pPr>
    <w:rPr>
      <w:sz w:val="24"/>
      <w:szCs w:val="24"/>
      <w:lang w:val="en-US"/>
    </w:rPr>
  </w:style>
  <w:style w:type="character" w:customStyle="1" w:styleId="apple-tab-span">
    <w:name w:val="apple-tab-span"/>
    <w:basedOn w:val="DefaultParagraphFont"/>
    <w:rsid w:val="003B6272"/>
  </w:style>
  <w:style w:type="paragraph" w:styleId="Header">
    <w:name w:val="header"/>
    <w:basedOn w:val="Normal"/>
    <w:link w:val="HeaderChar"/>
    <w:uiPriority w:val="99"/>
    <w:unhideWhenUsed/>
    <w:rsid w:val="00CD3CFF"/>
    <w:pPr>
      <w:tabs>
        <w:tab w:val="center" w:pos="4680"/>
        <w:tab w:val="right" w:pos="9360"/>
      </w:tabs>
    </w:pPr>
  </w:style>
  <w:style w:type="character" w:customStyle="1" w:styleId="HeaderChar">
    <w:name w:val="Header Char"/>
    <w:basedOn w:val="DefaultParagraphFont"/>
    <w:link w:val="Header"/>
    <w:uiPriority w:val="99"/>
    <w:rsid w:val="00CD3CFF"/>
    <w:rPr>
      <w:rFonts w:ascii="Times New Roman" w:eastAsia="Times New Roman" w:hAnsi="Times New Roman" w:cs="Times New Roman"/>
      <w:sz w:val="20"/>
      <w:szCs w:val="20"/>
      <w:lang w:val="id"/>
    </w:rPr>
  </w:style>
  <w:style w:type="paragraph" w:styleId="Footer">
    <w:name w:val="footer"/>
    <w:basedOn w:val="Normal"/>
    <w:link w:val="FooterChar"/>
    <w:uiPriority w:val="99"/>
    <w:unhideWhenUsed/>
    <w:rsid w:val="00CD3CFF"/>
    <w:pPr>
      <w:tabs>
        <w:tab w:val="center" w:pos="4680"/>
        <w:tab w:val="right" w:pos="9360"/>
      </w:tabs>
    </w:pPr>
  </w:style>
  <w:style w:type="character" w:customStyle="1" w:styleId="FooterChar">
    <w:name w:val="Footer Char"/>
    <w:basedOn w:val="DefaultParagraphFont"/>
    <w:link w:val="Footer"/>
    <w:uiPriority w:val="99"/>
    <w:rsid w:val="00CD3CFF"/>
    <w:rPr>
      <w:rFonts w:ascii="Times New Roman" w:eastAsia="Times New Roman" w:hAnsi="Times New Roman" w:cs="Times New Roman"/>
      <w:sz w:val="20"/>
      <w:szCs w:val="20"/>
      <w:lang w:val="id"/>
    </w:rPr>
  </w:style>
  <w:style w:type="character" w:customStyle="1" w:styleId="ListParagraphChar">
    <w:name w:val="List Paragraph Char"/>
    <w:aliases w:val="tabel Char,Body Text Char1 Char,Char Char2 Char,Heading 10 Char"/>
    <w:link w:val="ListParagraph"/>
    <w:uiPriority w:val="34"/>
    <w:rsid w:val="000058E5"/>
    <w:rPr>
      <w:rFonts w:eastAsia="Times New Roman"/>
    </w:rPr>
  </w:style>
  <w:style w:type="paragraph" w:styleId="ListParagraph">
    <w:name w:val="List Paragraph"/>
    <w:aliases w:val="tabel,Body Text Char1,Char Char2,Heading 10"/>
    <w:basedOn w:val="Normal"/>
    <w:link w:val="ListParagraphChar"/>
    <w:uiPriority w:val="34"/>
    <w:qFormat/>
    <w:rsid w:val="000058E5"/>
    <w:pPr>
      <w:spacing w:after="200" w:line="276" w:lineRule="auto"/>
      <w:ind w:left="720"/>
      <w:contextualSpacing/>
    </w:pPr>
    <w:rPr>
      <w:rFonts w:asciiTheme="minorHAnsi" w:hAnsiTheme="minorHAnsi" w:cstheme="minorBidi"/>
      <w:sz w:val="22"/>
      <w:szCs w:val="22"/>
      <w:lang w:val="en-US"/>
    </w:rPr>
  </w:style>
  <w:style w:type="character" w:styleId="Hyperlink">
    <w:name w:val="Hyperlink"/>
    <w:uiPriority w:val="99"/>
    <w:unhideWhenUsed/>
    <w:rsid w:val="00B43B60"/>
    <w:rPr>
      <w:color w:val="0000FF"/>
      <w:u w:val="single"/>
    </w:rPr>
  </w:style>
  <w:style w:type="paragraph" w:customStyle="1" w:styleId="ItemSyaratTulis2">
    <w:name w:val="Item Syarat Tulis 2"/>
    <w:basedOn w:val="Normal"/>
    <w:link w:val="ItemSyaratTulis2Char"/>
    <w:qFormat/>
    <w:rsid w:val="00B43B60"/>
    <w:pPr>
      <w:numPr>
        <w:numId w:val="2"/>
      </w:numPr>
      <w:spacing w:after="75"/>
      <w:ind w:left="990"/>
      <w:contextualSpacing/>
    </w:pPr>
    <w:rPr>
      <w:sz w:val="24"/>
      <w:szCs w:val="22"/>
      <w:lang w:val="en-US" w:eastAsia="zh-TW"/>
    </w:rPr>
  </w:style>
  <w:style w:type="character" w:customStyle="1" w:styleId="ItemSyaratTulis2Char">
    <w:name w:val="Item Syarat Tulis 2 Char"/>
    <w:link w:val="ItemSyaratTulis2"/>
    <w:rsid w:val="00B43B60"/>
    <w:rPr>
      <w:rFonts w:ascii="Times New Roman" w:eastAsia="Times New Roman" w:hAnsi="Times New Roman" w:cs="Times New Roman"/>
      <w:sz w:val="24"/>
      <w:lang w:eastAsia="zh-TW"/>
    </w:rPr>
  </w:style>
  <w:style w:type="table" w:styleId="TableGrid">
    <w:name w:val="Table Grid"/>
    <w:basedOn w:val="TableNormal"/>
    <w:uiPriority w:val="39"/>
    <w:rsid w:val="00FE6F0F"/>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0A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rPr>
      <w:sz w:val="24"/>
      <w:szCs w:val="24"/>
    </w:rPr>
    <w:tblPr>
      <w:tblStyleRowBandSize w:val="1"/>
      <w:tblStyleColBandSize w:val="1"/>
    </w:tblPr>
  </w:style>
  <w:style w:type="table" w:customStyle="1" w:styleId="a1">
    <w:basedOn w:val="TableNormal"/>
    <w:rPr>
      <w:sz w:val="24"/>
      <w:szCs w:val="24"/>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unhideWhenUsed/>
    <w:rsid w:val="00FD068F"/>
    <w:rPr>
      <w:rFonts w:asciiTheme="minorHAnsi" w:eastAsiaTheme="minorHAnsi" w:hAnsiTheme="minorHAnsi" w:cstheme="minorBidi"/>
      <w:kern w:val="2"/>
      <w:szCs w:val="25"/>
      <w:lang w:val="en-ID" w:eastAsia="en-US" w:bidi="th-TH"/>
    </w:rPr>
  </w:style>
  <w:style w:type="character" w:customStyle="1" w:styleId="FootnoteTextChar">
    <w:name w:val="Footnote Text Char"/>
    <w:basedOn w:val="DefaultParagraphFont"/>
    <w:link w:val="FootnoteText"/>
    <w:uiPriority w:val="99"/>
    <w:rsid w:val="00FD068F"/>
    <w:rPr>
      <w:rFonts w:asciiTheme="minorHAnsi" w:eastAsiaTheme="minorHAnsi" w:hAnsiTheme="minorHAnsi" w:cstheme="minorBidi"/>
      <w:kern w:val="2"/>
      <w:szCs w:val="25"/>
      <w:lang w:val="en-ID" w:eastAsia="en-US" w:bidi="th-TH"/>
    </w:rPr>
  </w:style>
  <w:style w:type="character" w:styleId="FootnoteReference">
    <w:name w:val="footnote reference"/>
    <w:basedOn w:val="DefaultParagraphFont"/>
    <w:uiPriority w:val="99"/>
    <w:semiHidden/>
    <w:unhideWhenUsed/>
    <w:rsid w:val="00FD068F"/>
    <w:rPr>
      <w:vertAlign w:val="superscript"/>
    </w:rPr>
  </w:style>
  <w:style w:type="paragraph" w:styleId="z-TopofForm">
    <w:name w:val="HTML Top of Form"/>
    <w:basedOn w:val="Normal"/>
    <w:next w:val="Normal"/>
    <w:link w:val="z-TopofFormChar"/>
    <w:hidden/>
    <w:uiPriority w:val="99"/>
    <w:semiHidden/>
    <w:unhideWhenUsed/>
    <w:rsid w:val="00FD068F"/>
    <w:pPr>
      <w:pBdr>
        <w:bottom w:val="single" w:sz="6" w:space="1" w:color="auto"/>
      </w:pBdr>
      <w:jc w:val="center"/>
    </w:pPr>
    <w:rPr>
      <w:rFonts w:ascii="Arial" w:hAnsi="Arial" w:cs="Arial"/>
      <w:vanish/>
      <w:sz w:val="16"/>
      <w:szCs w:val="16"/>
      <w:lang w:val="en-ID"/>
    </w:rPr>
  </w:style>
  <w:style w:type="character" w:customStyle="1" w:styleId="z-TopofFormChar">
    <w:name w:val="z-Top of Form Char"/>
    <w:basedOn w:val="DefaultParagraphFont"/>
    <w:link w:val="z-TopofForm"/>
    <w:uiPriority w:val="99"/>
    <w:semiHidden/>
    <w:rsid w:val="00FD068F"/>
    <w:rPr>
      <w:rFonts w:ascii="Arial" w:hAnsi="Arial" w:cs="Arial"/>
      <w:vanish/>
      <w:sz w:val="16"/>
      <w:szCs w:val="16"/>
      <w:lang w:val="en-ID"/>
    </w:rPr>
  </w:style>
  <w:style w:type="paragraph" w:styleId="Bibliography">
    <w:name w:val="Bibliography"/>
    <w:basedOn w:val="Normal"/>
    <w:next w:val="Normal"/>
    <w:uiPriority w:val="37"/>
    <w:unhideWhenUsed/>
    <w:rsid w:val="00836B24"/>
  </w:style>
  <w:style w:type="character" w:styleId="Strong">
    <w:name w:val="Strong"/>
    <w:basedOn w:val="DefaultParagraphFont"/>
    <w:uiPriority w:val="22"/>
    <w:qFormat/>
    <w:rsid w:val="00E84392"/>
    <w:rPr>
      <w:b/>
      <w:bCs/>
    </w:rPr>
  </w:style>
  <w:style w:type="character" w:styleId="Emphasis">
    <w:name w:val="Emphasis"/>
    <w:basedOn w:val="DefaultParagraphFont"/>
    <w:uiPriority w:val="20"/>
    <w:qFormat/>
    <w:rsid w:val="00E84392"/>
    <w:rPr>
      <w:i/>
      <w:iCs/>
    </w:rPr>
  </w:style>
  <w:style w:type="character" w:styleId="UnresolvedMention">
    <w:name w:val="Unresolved Mention"/>
    <w:basedOn w:val="DefaultParagraphFont"/>
    <w:uiPriority w:val="99"/>
    <w:semiHidden/>
    <w:unhideWhenUsed/>
    <w:rsid w:val="005B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journal.45mataram.ac.id/index.php/armad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alimmhd@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Lap17</b:Tag>
    <b:SourceType>JournalArticle</b:SourceType>
    <b:Guid>{E6E8564A-C954-4E49-B810-597430F3F22C}</b:Guid>
    <b:Author>
      <b:Author>
        <b:NameList>
          <b:Person>
            <b:Last>Lapian</b:Last>
          </b:Person>
          <b:Person>
            <b:Last>Dewi</b:Last>
          </b:Person>
        </b:NameList>
      </b:Author>
    </b:Author>
    <b:Title>PERAN KEBIJAKAN DIVIDEN DALAM MEMEDIASI PENGARUH PROFITABILITAS DAN LEVERAGE TERHADAP HARGA SAHAM PADA PERUSAHAAN MANUFAKTUR</b:Title>
    <b:JournalName>E-JURNAL MANAJEMEN UNIVERSITAS UDAYANA</b:JournalName>
    <b:Year>2017</b:Year>
    <b:Pages>816</b:Pages>
    <b:RefOrder>1</b:RefOrder>
  </b:Source>
  <b:Source>
    <b:Tag>Suh17</b:Tag>
    <b:SourceType>JournalArticle</b:SourceType>
    <b:Guid>{30A81C6B-3A25-44AF-B7E9-EBD6AF3AC801}</b:Guid>
    <b:Author>
      <b:Author>
        <b:NameList>
          <b:Person>
            <b:Last>Suhermin</b:Last>
            <b:First>Lailia</b:First>
            <b:Middle>N dan</b:Middle>
          </b:Person>
        </b:NameList>
      </b:Author>
    </b:Author>
    <b:Title>Pengaruh Struktur Modal, Profitabilitas dan Kebijakan Dividen terhadap Harga Saham Perusahaan Food And Baverage</b:Title>
    <b:Year>2017</b:Year>
    <b:JournalName>JIRM</b:JournalName>
    <b:RefOrder>2</b:RefOrder>
  </b:Source>
  <b:Source>
    <b:Tag>Nid15</b:Tag>
    <b:SourceType>Book</b:SourceType>
    <b:Guid>{570AEF9A-0A0D-4B08-81F6-0B5EDB47E7DB}</b:Guid>
    <b:Title>Manajemen Keuangan Perusahaan Modern</b:Title>
    <b:Year>2015</b:Year>
    <b:Author>
      <b:Author>
        <b:NameList>
          <b:Person>
            <b:Last>Nidar</b:Last>
            <b:First>S.R</b:First>
          </b:Person>
        </b:NameList>
      </b:Author>
    </b:Author>
    <b:City>Bandung</b:City>
    <b:Publisher>Pustaka Reka Cipta</b:Publisher>
    <b:RefOrder>4</b:RefOrder>
  </b:Source>
  <b:Source>
    <b:Tag>Hap21</b:Tag>
    <b:SourceType>JournalArticle</b:SourceType>
    <b:Guid>{549DB00B-62D7-496F-B0B2-35BF49B4C9B2}</b:Guid>
    <b:Author>
      <b:Author>
        <b:NameList>
          <b:Person>
            <b:Last>Hapsari</b:Last>
            <b:First>Fidiana</b:First>
          </b:Person>
        </b:NameList>
      </b:Author>
    </b:Author>
    <b:Title>Pengaruh Free Cash Flow, Kepemilikan Manajerial, dan Leverage Terhadap Kebijakan Dividen</b:Title>
    <b:JournalName>Jurnal   Ilmu   Dan   Riset   Akuntansi   (JIRA)</b:JournalName>
    <b:Year>2021</b:Year>
    <b:Pages>1-16</b:Pages>
    <b:RefOrder>7</b:RefOrder>
  </b:Source>
  <b:Source>
    <b:Tag>Sam20</b:Tag>
    <b:SourceType>JournalArticle</b:SourceType>
    <b:Guid>{93AE3C3C-008B-40BE-9BDB-FEE767EA74EF}</b:Guid>
    <b:Author>
      <b:Author>
        <b:NameList>
          <b:Person>
            <b:Last>Samudra</b:Last>
            <b:First>Ardini</b:First>
          </b:Person>
        </b:NameList>
      </b:Author>
    </b:Author>
    <b:Title>Pengaruh Struktur Modal, Kinerja Keuangan dan Ukuran Perusahaan Terhadap Harga Saham</b:Title>
    <b:JournalName>Jurnal Ilmu dan Riset Akuntansi</b:JournalName>
    <b:Year>2020</b:Year>
    <b:Pages>1-18</b:Pages>
    <b:RefOrder>10</b:RefOrder>
  </b:Source>
  <b:Source>
    <b:Tag>Lai17</b:Tag>
    <b:SourceType>JournalArticle</b:SourceType>
    <b:Guid>{A5B56F98-2826-42E3-904D-930D9EF991FF}</b:Guid>
    <b:Author>
      <b:Author>
        <b:NameList>
          <b:Person>
            <b:Last>Lailia</b:Last>
          </b:Person>
          <b:Person>
            <b:Last>Suhermin</b:Last>
          </b:Person>
        </b:NameList>
      </b:Author>
    </b:Author>
    <b:Title>Pengaruh Struktur Modal, Profitabilitas dan Kebijakan Dividen Terhadap Harga Saham</b:Title>
    <b:JournalName>Jurnal Ilmu dan Riset Manajemen</b:JournalName>
    <b:Year>2017</b:Year>
    <b:Pages>1-20</b:Pages>
    <b:RefOrder>14</b:RefOrder>
  </b:Source>
  <b:Source>
    <b:Tag>War17</b:Tag>
    <b:SourceType>JournalArticle</b:SourceType>
    <b:Guid>{7BA28CDE-C4A2-4BBF-A4E4-96609E100BFD}</b:Guid>
    <b:Author>
      <b:Author>
        <b:NameList>
          <b:Person>
            <b:Last>Wardiah</b:Last>
            <b:First>Lasmi</b:First>
          </b:Person>
        </b:NameList>
      </b:Author>
    </b:Author>
    <b:Title>Manajemen Pasar Uang dan Modal</b:Title>
    <b:JournalName>Pustaka Setia Bandung</b:JournalName>
    <b:Year>2017</b:Year>
    <b:Pages>1-33</b:Pages>
    <b:RefOrder>15</b:RefOrder>
  </b:Source>
  <b:Source>
    <b:Tag>Chu19</b:Tag>
    <b:SourceType>JournalArticle</b:SourceType>
    <b:Guid>{78060629-6D54-4D83-85B6-E4E1958AC7D3}</b:Guid>
    <b:Author>
      <b:Author>
        <b:NameList>
          <b:Person>
            <b:Last>Churcill</b:Last>
          </b:Person>
          <b:Person>
            <b:Last>Ardillah</b:Last>
          </b:Person>
        </b:NameList>
      </b:Author>
    </b:Author>
    <b:Title> Pengaruh  Struktur  Modal,  Profitabilitas,  dan  Struktur Aktiva Terhadap Harga Saham</b:Title>
    <b:JournalName>Jurnal Akuntansi dan Keuangan</b:JournalName>
    <b:Year>2019</b:Year>
    <b:Pages>47-60</b:Pages>
    <b:RefOrder>18</b:RefOrder>
  </b:Source>
  <b:Source>
    <b:Tag>Sir18</b:Tag>
    <b:SourceType>JournalArticle</b:SourceType>
    <b:Guid>{D3D49616-DBB8-482B-9FB5-69D75E8FCAFC}</b:Guid>
    <b:Author>
      <b:Author>
        <b:NameList>
          <b:Person>
            <b:Last>Siregar</b:Last>
            <b:First>Nurmala</b:First>
          </b:Person>
        </b:NameList>
      </b:Author>
    </b:Author>
    <b:Title>Pengaruh Ukuran Perusahaan dan Penerimaan Opini Going Concern Terhadap Harga Saham</b:Title>
    <b:JournalName>Jurnal Riset dan Keuangan Akuntansi</b:JournalName>
    <b:Year>2018</b:Year>
    <b:Pages>80-90</b:Pages>
    <b:RefOrder>6</b:RefOrder>
  </b:Source>
  <b:Source>
    <b:Tag>Dan18</b:Tag>
    <b:SourceType>JournalArticle</b:SourceType>
    <b:Guid>{20105DD9-A8C6-4891-94BA-F13F97CAF1D7}</b:Guid>
    <b:Title>Pengaruh Komponen Arus Kas, Laba Perusahaan dan Return On Assets terhadap Harga Saham pada Perusahaan Manufaktur (Consumer Goods) yang Terdaftar di Bursa Efek Indonesia Tahun 2014-2016</b:Title>
    <b:JournalName>Warmadewa Economic Development Journal</b:JournalName>
    <b:Year>2018</b:Year>
    <b:Pages>41-48</b:Pages>
    <b:Author>
      <b:Author>
        <b:NameList>
          <b:Person>
            <b:Last>Dana</b:Last>
            <b:First>Kadek</b:First>
            <b:Middle>Saputra</b:Middle>
          </b:Person>
          <b:Person>
            <b:Last>Purnami</b:Last>
            <b:First>A.A</b:First>
            <b:Middle>Sri</b:Middle>
          </b:Person>
          <b:Person>
            <b:Last>Giri</b:Last>
            <b:Middle>Rediatni</b:Middle>
            <b:First>Ni Putu</b:First>
          </b:Person>
        </b:NameList>
      </b:Author>
    </b:Author>
    <b:RefOrder>23</b:RefOrder>
  </b:Source>
  <b:Source>
    <b:Tag>Pra23</b:Tag>
    <b:SourceType>JournalArticle</b:SourceType>
    <b:Guid>{CFFCA30E-B36F-4775-A689-F1D109D2696E}</b:Guid>
    <b:Title>Pengaruh Profitabilitas, Kebijakan Dividen, Struktur Aktiva dan Struktur Modal Terhadap Harga Saham</b:Title>
    <b:JournalName>Jurnal Ilmu dan Riset Akuntansi</b:JournalName>
    <b:Year>2023</b:Year>
    <b:Pages>1-18</b:Pages>
    <b:Author>
      <b:Author>
        <b:NameList>
          <b:Person>
            <b:Last>Prayoga</b:Last>
            <b:Middle>Aldy</b:Middle>
            <b:First>Mochamad</b:First>
          </b:Person>
          <b:Person>
            <b:Last>Fitria</b:Last>
            <b:First>Astri</b:First>
          </b:Person>
        </b:NameList>
      </b:Author>
    </b:Author>
    <b:RefOrder>24</b:RefOrder>
  </b:Source>
  <b:Source>
    <b:Tag>Sil22</b:Tag>
    <b:SourceType>JournalArticle</b:SourceType>
    <b:Guid>{9C98A58D-4396-4768-BF3F-0FD5CBCD2D68}</b:Guid>
    <b:Title>Pengaruh Struktur Modal, Likuiditas dan Ukuran Perusahaan Terhadap Harga Saham </b:Title>
    <b:JournalName>Jurnal Riset Akuntansi dan Komputerisasi Akuntansi</b:JournalName>
    <b:Year>2022</b:Year>
    <b:Pages>34-46</b:Pages>
    <b:Author>
      <b:Author>
        <b:NameList>
          <b:Person>
            <b:Last>Silalahi</b:Last>
            <b:First>Esli</b:First>
          </b:Person>
          <b:Person>
            <b:Last>Sinaga</b:Last>
            <b:Middle>Veronica</b:Middle>
            <b:First>Ria</b:First>
          </b:Person>
          <b:Person>
            <b:Last>Sari Purba</b:Last>
            <b:Middle>Renita</b:Middle>
            <b:First>Sulastri</b:First>
          </b:Person>
        </b:NameList>
      </b:Author>
    </b:Author>
    <b:RefOrder>25</b:RefOrder>
  </b:Source>
  <b:Source>
    <b:Tag>Sit23</b:Tag>
    <b:SourceType>JournalArticle</b:SourceType>
    <b:Guid>{7FA675CA-6B9E-4A22-9FF2-F68CA972B4CE}</b:Guid>
    <b:Title>Pengaruh Kebijakan Dividen, Keputusan Investasi dan Laba Bersih Terhadap Harga Saham</b:Title>
    <b:JournalName>Journal of Innovation Research and Knowledge</b:JournalName>
    <b:Year>2023</b:Year>
    <b:Pages>4031-4040</b:Pages>
    <b:Author>
      <b:Author>
        <b:NameList>
          <b:Person>
            <b:Last>Sitepu</b:Last>
            <b:Middle>Putranta</b:Middle>
            <b:First>Andres</b:First>
          </b:Person>
          <b:Person>
            <b:Last>Fiona</b:Last>
          </b:Person>
        </b:NameList>
      </b:Author>
    </b:Author>
    <b:RefOrder>26</b:RefOrder>
  </b:Source>
  <b:Source>
    <b:Tag>Lum23</b:Tag>
    <b:SourceType>JournalArticle</b:SourceType>
    <b:Guid>{6A101DC9-B888-4AA0-981C-1CD85D37281B}</b:Guid>
    <b:Title>Pengaruh Struktur Modal, Kinerja Keuangan dan Kebijakan Dividen Terhadap Harga Saham</b:Title>
    <b:JournalName>Jurnal Riset Ekonimi, Manajemen, Bisnis dan Akuntansi</b:JournalName>
    <b:Year>2023</b:Year>
    <b:Pages>992-1008</b:Pages>
    <b:Author>
      <b:Author>
        <b:NameList>
          <b:Person>
            <b:Last>Lumopa</b:Last>
            <b:Middle>E</b:Middle>
            <b:First>Christoffer</b:First>
          </b:Person>
          <b:Person>
            <b:Last>Tulung</b:Last>
            <b:Middle>E</b:Middle>
            <b:First>Joy</b:First>
          </b:Person>
          <b:Person>
            <b:Last>Palandeng</b:Last>
            <b:Middle>Debbie</b:Middle>
            <b:First>Indrie</b:First>
          </b:Person>
        </b:NameList>
      </b:Author>
    </b:Author>
    <b:RefOrder>27</b:RefOrder>
  </b:Source>
  <b:Source>
    <b:Tag>Lat20</b:Tag>
    <b:SourceType>JournalArticle</b:SourceType>
    <b:Guid>{677CA758-D898-4AF5-91BE-25019E600E6A}</b:Guid>
    <b:Title>Pengaruh Kebijakan Dividen, Kebijakan Hutang, Profitabilitas, dan Likuiditas Terhadap Harga Saham</b:Title>
    <b:JournalName>Jurnal Akuntansi Aktual</b:JournalName>
    <b:Year>2020</b:Year>
    <b:Pages>31-44</b:Pages>
    <b:Author>
      <b:Author>
        <b:NameList>
          <b:Person>
            <b:Last>Latifah</b:Last>
            <b:Middle>Chabibatul</b:Middle>
            <b:First>Hana</b:First>
          </b:Person>
          <b:Person>
            <b:Last>Suryani</b:Last>
            <b:Middle>Wilujeng</b:Middle>
            <b:First>Ani</b:First>
          </b:Person>
        </b:NameList>
      </b:Author>
    </b:Author>
    <b:RefOrder>28</b:RefOrder>
  </b:Source>
  <b:Source>
    <b:Tag>Chu191</b:Tag>
    <b:SourceType>JournalArticle</b:SourceType>
    <b:Guid>{38B7B6C7-F393-48E2-A07D-CD72374231A8}</b:Guid>
    <b:Title>Pengaruh Struktur Modal, Profitabilitas dan Struktur Aktiva Terhadap Harga Saham</b:Title>
    <b:JournalName>Jurnal Akuntansi dan Keuangan</b:JournalName>
    <b:Year>2019</b:Year>
    <b:Pages>47-60</b:Pages>
    <b:Author>
      <b:Author>
        <b:NameList>
          <b:Person>
            <b:Last> Churcill</b:Last>
            <b:Middle>E</b:Middle>
            <b:First>Sellytyanengsih</b:First>
          </b:Person>
          <b:Person>
            <b:Last>Ardillah</b:Last>
            <b:First>Kenny</b:First>
          </b:Person>
        </b:NameList>
      </b:Author>
    </b:Author>
    <b:RefOrder>29</b:RefOrder>
  </b:Source>
  <b:Source>
    <b:Tag>Mel20</b:Tag>
    <b:SourceType>JournalArticle</b:SourceType>
    <b:Guid>{F3CBD88F-6C0C-4D38-B847-FD09E450CFF9}</b:Guid>
    <b:Title>Pengaruh Laba, Komponen Arus Kas, dan Nilai Buku Saham Terhadap Harga Saham</b:Title>
    <b:JournalName>FebEnefecium</b:JournalName>
    <b:Year>2020</b:Year>
    <b:Pages>1-9</b:Pages>
    <b:Author>
      <b:Author>
        <b:NameList>
          <b:Person>
            <b:Last>Meliana</b:Last>
            <b:First>Riska</b:First>
          </b:Person>
        </b:NameList>
      </b:Author>
    </b:Author>
    <b:RefOrder>30</b:RefOrder>
  </b:Source>
  <b:Source>
    <b:Tag>Pra21</b:Tag>
    <b:SourceType>JournalArticle</b:SourceType>
    <b:Guid>{6D4926F3-D989-4AA6-A14F-419BCE8834F6}</b:Guid>
    <b:Title>Pengaruh Struktur Modal, Kebijakan Dividen dan Pergantian Auditor Terhadap Harga Saham</b:Title>
    <b:JournalName>Jurnal Ilmu dan Riset Akuntansi </b:JournalName>
    <b:Year>2021</b:Year>
    <b:Pages>1-16</b:Pages>
    <b:Author>
      <b:Author>
        <b:NameList>
          <b:Person>
            <b:Last>Prasetyo</b:Last>
            <b:Middle>Adhi</b:Middle>
            <b:First>Wisnu</b:First>
          </b:Person>
          <b:Person>
            <b:Last>Praptoyo</b:Last>
            <b:First>Sugeng</b:First>
          </b:Person>
        </b:NameList>
      </b:Author>
    </b:Author>
    <b:RefOrder>31</b:RefOrder>
  </b:Source>
  <b:Source>
    <b:Tag>Pra19</b:Tag>
    <b:SourceType>JournalArticle</b:SourceType>
    <b:Guid>{0CB4F94E-CF95-45F0-B98B-57CD4CCF68BC}</b:Guid>
    <b:Author>
      <b:Author>
        <b:NameList>
          <b:Person>
            <b:Last>Pratiwi dkk.</b:Last>
          </b:Person>
        </b:NameList>
      </b:Author>
    </b:Author>
    <b:Title>Pengaruh Current Ratio, Debt To Equity Ratio dan Return On Asset terhadap Harga Saham</b:Title>
    <b:JournalName>Science of Management and Student Research Journal</b:JournalName>
    <b:Year>2019</b:Year>
    <b:Pages>213-221</b:Pages>
    <b:RefOrder>11</b:RefOrder>
  </b:Source>
  <b:Source>
    <b:Tag>Har21</b:Tag>
    <b:SourceType>JournalArticle</b:SourceType>
    <b:Guid>{36DA5951-7205-471F-95BF-1333B0887DB5}</b:Guid>
    <b:Author>
      <b:Author>
        <b:NameList>
          <b:Person>
            <b:Last>Hardini</b:Last>
            <b:First>A.</b:First>
            <b:Middle>R</b:Middle>
          </b:Person>
        </b:NameList>
      </b:Author>
    </b:Author>
    <b:Title>Pengaruh Likuiditas, Profitabilitas dan Struktur Modal terhadap Harga Saham</b:Title>
    <b:JournalName>Titik Mildawati Sekolah Tinggi Ilmu Ekonomi Indonesia (STIESIA) Surabaya</b:JournalName>
    <b:Year>2021</b:Year>
    <b:RefOrder>13</b:RefOrder>
  </b:Source>
  <b:Source>
    <b:Tag>Sug13</b:Tag>
    <b:SourceType>Book</b:SourceType>
    <b:Guid>{EC3DCCB5-1B5A-4B9E-9B42-0E04DFA2C271}</b:Guid>
    <b:Title>Metode penelitian pendidikan pendekatan kuantitatif, kualitatif dan R&amp;D</b:Title>
    <b:Year>2013</b:Year>
    <b:Author>
      <b:Author>
        <b:NameList>
          <b:Person>
            <b:Last>Sugiyono</b:Last>
          </b:Person>
        </b:NameList>
      </b:Author>
    </b:Author>
    <b:RefOrder>22</b:RefOrder>
  </b:Source>
  <b:Source>
    <b:Tag>Jog16</b:Tag>
    <b:SourceType>Book</b:SourceType>
    <b:Guid>{320C404B-8E15-44A5-93FD-1B1AE2A3A09E}</b:Guid>
    <b:Author>
      <b:Author>
        <b:NameList>
          <b:Person>
            <b:Last>Jogiyanto</b:Last>
          </b:Person>
        </b:NameList>
      </b:Author>
    </b:Author>
    <b:Title>Teori Portofolio dan Analisis Investasi</b:Title>
    <b:Year>2016</b:Year>
    <b:City>Yogyakarta</b:City>
    <b:Publisher>BPFE</b:Publisher>
    <b:RefOrder>32</b:RefOrder>
  </b:Source>
  <b:Source>
    <b:Tag>Her18</b:Tag>
    <b:SourceType>Book</b:SourceType>
    <b:Guid>{6E139E70-107A-45B5-847A-8B15B6D28BA7}</b:Guid>
    <b:Author>
      <b:Author>
        <b:NameList>
          <b:Person>
            <b:Last>Hery</b:Last>
          </b:Person>
        </b:NameList>
      </b:Author>
    </b:Author>
    <b:Title>Analisis Laporan Keuangan: Integrated and Comprehensive </b:Title>
    <b:Year>2018</b:Year>
    <b:City>Jakarta</b:City>
    <b:Publisher>PT. Gramedia</b:Publisher>
    <b:RefOrder>8</b:RefOrder>
  </b:Source>
  <b:Source>
    <b:Tag>Kas21</b:Tag>
    <b:SourceType>Book</b:SourceType>
    <b:Guid>{DC9DC30A-8CCB-47D3-AC1A-3B15BE3E5A0C}</b:Guid>
    <b:Author>
      <b:Author>
        <b:NameList>
          <b:Person>
            <b:Last>Kasmir</b:Last>
          </b:Person>
        </b:NameList>
      </b:Author>
    </b:Author>
    <b:Title>Analisis Laporan Keuangan</b:Title>
    <b:Year>2021</b:Year>
    <b:City>Jakarta</b:City>
    <b:Publisher>PT. Raja Grafindo Persada</b:Publisher>
    <b:RefOrder>9</b:RefOrder>
  </b:Source>
  <b:Source>
    <b:Tag>Sua17</b:Tag>
    <b:SourceType>Book</b:SourceType>
    <b:Guid>{1D3481B4-55FA-4967-8FFA-3C84A0C5B23E}</b:Guid>
    <b:Author>
      <b:Author>
        <b:NameList>
          <b:Person>
            <b:Last>Pudjiastuti</b:Last>
            <b:First>Suad</b:First>
            <b:Middle>Husnan dan Enny</b:Middle>
          </b:Person>
        </b:NameList>
      </b:Author>
    </b:Author>
    <b:Title>Manajemen Keuangan: Teori dan Aplikasi</b:Title>
    <b:Year>2017</b:Year>
    <b:RefOrder>16</b:RefOrder>
  </b:Source>
  <b:Source>
    <b:Tag>Agu18</b:Tag>
    <b:SourceType>Book</b:SourceType>
    <b:Guid>{8B10FA7E-8978-4ACC-9059-89357828CD25}</b:Guid>
    <b:Author>
      <b:Author>
        <b:NameList>
          <b:Person>
            <b:Last>Sartono</b:Last>
            <b:First>Agus</b:First>
          </b:Person>
        </b:NameList>
      </b:Author>
    </b:Author>
    <b:Title>Struktur Modal Optimal</b:Title>
    <b:Year>2018</b:Year>
    <b:RefOrder>19</b:RefOrder>
  </b:Source>
  <b:Source>
    <b:Tag>Sel19</b:Tag>
    <b:SourceType>JournalArticle</b:SourceType>
    <b:Guid>{FEAAB5F0-9DD0-4425-83ED-126503D58D31}</b:Guid>
    <b:Author>
      <b:Author>
        <b:NameList>
          <b:Person>
            <b:Last>Ardillah</b:Last>
            <b:First>Sellytyanengsih</b:First>
            <b:Middle>E Churcill dan Kenny</b:Middle>
          </b:Person>
        </b:NameList>
      </b:Author>
    </b:Author>
    <b:Title>Pengaruh Struktur Modal, Profitabilitas, dan Struktur Aktiva terhadap Harga Saham</b:Title>
    <b:JournalName>STATERA</b:JournalName>
    <b:Year>2019</b:Year>
    <b:Pages>47-60</b:Pages>
    <b:RefOrder>3</b:RefOrder>
  </b:Source>
  <b:Source>
    <b:Tag>Moc23</b:Tag>
    <b:SourceType>JournalArticle</b:SourceType>
    <b:Guid>{39C36867-A08D-4338-8B2B-64114E7D5C63}</b:Guid>
    <b:Author>
      <b:Author>
        <b:NameList>
          <b:Person>
            <b:Last>Fitria</b:Last>
            <b:First>Mochamad</b:First>
            <b:Middle>Aldy Prayoga dan Astri</b:Middle>
          </b:Person>
        </b:NameList>
      </b:Author>
    </b:Author>
    <b:Title>Pengaruh Profitabilitas, Kebijakan Dividen, Struktur Aktiva dan Struktur Modal terhadap Harga Saham</b:Title>
    <b:JournalName>Jurnal Ilmu dan Riset Akuntansi </b:JournalName>
    <b:Year>2023</b:Year>
    <b:RefOrder>5</b:RefOrder>
  </b:Source>
  <b:Source>
    <b:Tag>Pin23</b:Tag>
    <b:SourceType>JournalArticle</b:SourceType>
    <b:Guid>{95526143-1F89-457E-9294-7441C1CB7B21}</b:Guid>
    <b:Author>
      <b:Author>
        <b:NameList>
          <b:Person>
            <b:Last>Anggraini</b:Last>
            <b:First>Anggun</b:First>
          </b:Person>
          <b:Person>
            <b:Last>Rosadi</b:Last>
            <b:Middle>Januari</b:Middle>
            <b:First>Pinkan</b:First>
          </b:Person>
        </b:NameList>
      </b:Author>
    </b:Author>
    <b:Title>Pengaruh Kebijakan Dividen, Kepemilikan Institusional, dan Struktur Modal terhadap Harga Saham</b:Title>
    <b:JournalName>Jurnal Multidisiplin</b:JournalName>
    <b:Year>2023</b:Year>
    <b:RefOrder>20</b:RefOrder>
  </b:Source>
  <b:Source>
    <b:Tag>Sev22</b:Tag>
    <b:SourceType>JournalArticle</b:SourceType>
    <b:Guid>{9A891303-0776-4B69-AE3E-1FD37F3F0D00}</b:Guid>
    <b:Title>Pengaruh Kinerja Keuangan, Kebijakan Dividen, dan Kebijakan Hutang terhadap Nilai Perusahaan</b:Title>
    <b:Year>2022</b:Year>
    <b:Author>
      <b:Author>
        <b:NameList>
          <b:Person>
            <b:Last>Saputri</b:Last>
            <b:Middle>Wahiddirani</b:Middle>
            <b:First>Sevty</b:First>
          </b:Person>
          <b:Person>
            <b:Last>Oktavianna</b:Last>
            <b:First>Rakhmawati</b:First>
          </b:Person>
          <b:Person>
            <b:Last>Bernarda</b:Last>
          </b:Person>
        </b:NameList>
      </b:Author>
    </b:Author>
    <b:JournalName>Jurnal Akuntansi Barelang</b:JournalName>
    <b:Pages>50-63</b:Pages>
    <b:RefOrder>21</b:RefOrder>
  </b:Source>
  <b:Source>
    <b:Tag>Nap23</b:Tag>
    <b:SourceType>JournalArticle</b:SourceType>
    <b:Guid>{76A4A052-DCC7-4D5D-BBAA-FF840EEFEF7F}</b:Guid>
    <b:Author>
      <b:Author>
        <b:NameList>
          <b:Person>
            <b:Last>Napisah</b:Last>
          </b:Person>
          <b:Person>
            <b:Last>Soeparyono</b:Last>
            <b:Middle>Deia</b:Middle>
            <b:First>Regina</b:First>
          </b:Person>
        </b:NameList>
      </b:Author>
    </b:Author>
    <b:Title>Pengaruh Good Governance dan Kinerja Keuangan terhadap Harga Saham dengan Kebijakan Dividen sebagai Variabel Pemoderasi</b:Title>
    <b:JournalName>Jurnal Akuntansi dan Ekonomi</b:JournalName>
    <b:Year>2023</b:Year>
    <b:Pages>74-88</b:Pages>
    <b:RefOrder>17</b:RefOrder>
  </b:Source>
  <b:Source>
    <b:Tag>Sja23</b:Tag>
    <b:SourceType>JournalArticle</b:SourceType>
    <b:Guid>{94BA080B-2123-408B-BAE7-481C2CA3F4F1}</b:Guid>
    <b:Title>Pengaruh Kebijakan Dividen Terhadap Harga Saham</b:Title>
    <b:JournalName>Jurnal MANEKSI</b:JournalName>
    <b:Year>2023</b:Year>
    <b:Pages>971-979</b:Pages>
    <b:Author>
      <b:Author>
        <b:NameList>
          <b:Person>
            <b:Last>Sjahruddin</b:Last>
            <b:First>Herman</b:First>
          </b:Person>
          <b:Person>
            <b:Last>Kadir</b:Last>
            <b:Middle>Akob</b:Middle>
            <b:First>Muh.</b:First>
          </b:Person>
          <b:Person>
            <b:Last>Selfi</b:Last>
            <b:First>Andi</b:First>
          </b:Person>
          <b:Person>
            <b:Last>Permana</b:Last>
            <b:Middle>Agung</b:Middle>
            <b:First>Muh.</b:First>
          </b:Person>
        </b:NameList>
      </b:Author>
    </b:Author>
    <b:RefOrder>12</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jp6dV/nZmomh4BPoI/dm+jv0Lg==">AMUW2mW4L2GbAMXUe5N8ZMjIi82vekBbTa6hq/myz0rhgtzD7uZ39HVeFcJojy7KqVqtMqSaL1LWJ5ENsqQZxsAg33PraopWlVo4NnyhLs+ItMko7Gpu9TfeS76Jf8JqTvGnKwBnXLoI</go:docsCustomData>
</go:gDocsCustomXmlDataStorage>
</file>

<file path=customXml/itemProps1.xml><?xml version="1.0" encoding="utf-8"?>
<ds:datastoreItem xmlns:ds="http://schemas.openxmlformats.org/officeDocument/2006/customXml" ds:itemID="{A649AAD5-1E01-471E-A160-BB77C252D4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3774</Words>
  <Characters>25707</Characters>
  <Application>Microsoft Office Word</Application>
  <DocSecurity>0</DocSecurity>
  <Lines>408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Cinun</dc:creator>
  <cp:lastModifiedBy>Yorman DG</cp:lastModifiedBy>
  <cp:revision>17</cp:revision>
  <cp:lastPrinted>2025-10-06T15:46:00Z</cp:lastPrinted>
  <dcterms:created xsi:type="dcterms:W3CDTF">2025-09-26T07:07:00Z</dcterms:created>
  <dcterms:modified xsi:type="dcterms:W3CDTF">2025-10-06T15:51:00Z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86b62e69-ba11-408b-bcc4-4811e8d65a7c</vt:lpwstr>
  </property>
</Properties>
</file>